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C" w:rsidRDefault="00B2208C" w:rsidP="00B2208C">
      <w:pPr>
        <w:spacing w:after="0" w:line="240" w:lineRule="auto"/>
        <w:rPr>
          <w:b/>
        </w:rPr>
      </w:pPr>
      <w:r w:rsidRPr="00B2208C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810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2208C">
        <w:rPr>
          <w:rFonts w:ascii="Verdana" w:eastAsia="Calibri" w:hAnsi="Verdana" w:cs="Times New Roman"/>
          <w:sz w:val="18"/>
          <w:szCs w:val="18"/>
        </w:rPr>
        <w:t>Subdirección Gestión Asistencial</w:t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ACTA REUNIÓN N°</w:t>
      </w:r>
      <w:r w:rsidR="00811FEB">
        <w:rPr>
          <w:rFonts w:ascii="Calibri" w:eastAsia="Calibri" w:hAnsi="Calibri" w:cs="Calibri"/>
          <w:b/>
        </w:rPr>
        <w:t>4</w:t>
      </w:r>
      <w:r w:rsidRPr="00B2208C">
        <w:rPr>
          <w:rFonts w:ascii="Calibri" w:eastAsia="Calibri" w:hAnsi="Calibri" w:cs="Calibri"/>
          <w:b/>
        </w:rPr>
        <w:t xml:space="preserve">, </w:t>
      </w:r>
      <w:r w:rsidR="00811FEB">
        <w:rPr>
          <w:rFonts w:ascii="Calibri" w:eastAsia="Calibri" w:hAnsi="Calibri" w:cs="Calibri"/>
          <w:b/>
        </w:rPr>
        <w:t>MIERCOLES</w:t>
      </w:r>
      <w:r>
        <w:rPr>
          <w:rFonts w:ascii="Calibri" w:eastAsia="Calibri" w:hAnsi="Calibri" w:cs="Calibri"/>
          <w:b/>
        </w:rPr>
        <w:t xml:space="preserve"> </w:t>
      </w:r>
      <w:r w:rsidR="00811FEB">
        <w:rPr>
          <w:rFonts w:ascii="Calibri" w:eastAsia="Calibri" w:hAnsi="Calibri" w:cs="Calibri"/>
          <w:b/>
        </w:rPr>
        <w:t>19</w:t>
      </w:r>
      <w:r>
        <w:rPr>
          <w:rFonts w:ascii="Calibri" w:eastAsia="Calibri" w:hAnsi="Calibri" w:cs="Calibri"/>
          <w:b/>
        </w:rPr>
        <w:t xml:space="preserve"> DE </w:t>
      </w:r>
      <w:r w:rsidR="00A609E0">
        <w:rPr>
          <w:rFonts w:ascii="Calibri" w:eastAsia="Calibri" w:hAnsi="Calibri" w:cs="Calibri"/>
          <w:b/>
        </w:rPr>
        <w:t>MAYO</w:t>
      </w:r>
      <w:r w:rsidRPr="00B2208C">
        <w:rPr>
          <w:rFonts w:ascii="Calibri" w:eastAsia="Calibri" w:hAnsi="Calibri" w:cs="Calibri"/>
          <w:b/>
        </w:rPr>
        <w:t xml:space="preserve"> DE 201</w:t>
      </w:r>
      <w:r w:rsidR="00B47012">
        <w:rPr>
          <w:rFonts w:ascii="Calibri" w:eastAsia="Calibri" w:hAnsi="Calibri" w:cs="Calibri"/>
          <w:b/>
        </w:rPr>
        <w:t>9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COMITÉ LISTA DE ESPERA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SERVICIO DE SALUD OSORNO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rPr>
          <w:rFonts w:ascii="Verdana" w:eastAsia="Calibri" w:hAnsi="Verdana" w:cs="Times New Roman"/>
          <w:b/>
          <w:sz w:val="20"/>
          <w:szCs w:val="20"/>
        </w:rPr>
      </w:pPr>
    </w:p>
    <w:p w:rsidR="00B2208C" w:rsidRDefault="00B2208C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F80020" w:rsidRDefault="00F80020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B2208C" w:rsidRDefault="00933401" w:rsidP="00513119">
      <w:pPr>
        <w:jc w:val="both"/>
      </w:pPr>
      <w:r w:rsidRPr="00B47012">
        <w:t xml:space="preserve">Con la presencia de la </w:t>
      </w:r>
      <w:r w:rsidR="00B2208C" w:rsidRPr="00B47012">
        <w:t>Red A</w:t>
      </w:r>
      <w:r w:rsidR="00275C5C" w:rsidRPr="00B47012">
        <w:t xml:space="preserve">sistencial </w:t>
      </w:r>
      <w:r w:rsidR="00DD46C4" w:rsidRPr="00B47012">
        <w:t>SSO, Dra. Jiménez</w:t>
      </w:r>
      <w:r w:rsidR="00275C5C" w:rsidRPr="00B47012">
        <w:t xml:space="preserve"> da </w:t>
      </w:r>
      <w:r w:rsidR="00B47012">
        <w:t xml:space="preserve">bienvenida e </w:t>
      </w:r>
      <w:r w:rsidR="00275C5C" w:rsidRPr="00B47012">
        <w:t>inici</w:t>
      </w:r>
      <w:r w:rsidR="00B47012">
        <w:t>a</w:t>
      </w:r>
      <w:r w:rsidR="00275C5C" w:rsidRPr="00B47012">
        <w:t xml:space="preserve"> </w:t>
      </w:r>
      <w:r w:rsidRPr="00B47012">
        <w:t xml:space="preserve">reunión a </w:t>
      </w:r>
      <w:r w:rsidR="002E4ED1">
        <w:t>08</w:t>
      </w:r>
      <w:r w:rsidR="00275C5C" w:rsidRPr="00B47012">
        <w:t>:</w:t>
      </w:r>
      <w:r w:rsidR="00067D48">
        <w:t>0</w:t>
      </w:r>
      <w:r w:rsidR="00811FEB">
        <w:t>0</w:t>
      </w:r>
      <w:r w:rsidR="009D0682" w:rsidRPr="00B47012">
        <w:t xml:space="preserve"> </w:t>
      </w:r>
      <w:proofErr w:type="spellStart"/>
      <w:r w:rsidR="009D0682" w:rsidRPr="00B47012">
        <w:t>hrs</w:t>
      </w:r>
      <w:proofErr w:type="spellEnd"/>
      <w:r w:rsidR="009D0682" w:rsidRPr="00B47012">
        <w:t>.</w:t>
      </w:r>
    </w:p>
    <w:p w:rsidR="001429D2" w:rsidRDefault="001429D2" w:rsidP="00513119">
      <w:pPr>
        <w:jc w:val="both"/>
      </w:pPr>
    </w:p>
    <w:p w:rsidR="00F16983" w:rsidRPr="006A06FB" w:rsidRDefault="00F16983" w:rsidP="00F16983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Hospital Digital</w:t>
      </w:r>
    </w:p>
    <w:p w:rsidR="00811FEB" w:rsidRDefault="00F16983" w:rsidP="00F16983">
      <w:pPr>
        <w:jc w:val="both"/>
      </w:pPr>
      <w:r>
        <w:t xml:space="preserve">Se presenta a la Red a </w:t>
      </w:r>
      <w:r w:rsidR="00811FEB">
        <w:t xml:space="preserve">Gestora </w:t>
      </w:r>
      <w:r>
        <w:t xml:space="preserve">del </w:t>
      </w:r>
      <w:r w:rsidR="00811FEB">
        <w:t xml:space="preserve">Hospital Digital </w:t>
      </w:r>
      <w:r>
        <w:t xml:space="preserve">en el </w:t>
      </w:r>
      <w:r w:rsidR="00811FEB">
        <w:t>Servicio de Salud Osorno.</w:t>
      </w:r>
    </w:p>
    <w:p w:rsidR="00811FEB" w:rsidRDefault="00811FEB" w:rsidP="00811FEB">
      <w:pPr>
        <w:rPr>
          <w:rStyle w:val="Hipervnculo"/>
        </w:rPr>
      </w:pPr>
      <w:r>
        <w:t>Enfermera Javiera Pohlenz</w:t>
      </w:r>
      <w:r w:rsidR="00F16983">
        <w:t>, funcionaria con 44 horas. Las consulta</w:t>
      </w:r>
      <w:r w:rsidR="001429D2">
        <w:t>s</w:t>
      </w:r>
      <w:r w:rsidR="00F16983">
        <w:t xml:space="preserve"> pueden realizaras a su email </w:t>
      </w:r>
      <w:hyperlink r:id="rId7" w:history="1">
        <w:r w:rsidRPr="00EA25A9">
          <w:rPr>
            <w:rStyle w:val="Hipervnculo"/>
          </w:rPr>
          <w:t>Javiera.pohlenz@hospitaldigital.cl</w:t>
        </w:r>
      </w:hyperlink>
    </w:p>
    <w:p w:rsidR="006F62C1" w:rsidRPr="00902073" w:rsidRDefault="006F62C1" w:rsidP="006F62C1">
      <w:pPr>
        <w:spacing w:after="0"/>
        <w:rPr>
          <w:rStyle w:val="Hipervnculo"/>
          <w:color w:val="auto"/>
          <w:u w:val="none"/>
        </w:rPr>
      </w:pPr>
      <w:r w:rsidRPr="00902073">
        <w:rPr>
          <w:rStyle w:val="Hipervnculo"/>
          <w:color w:val="auto"/>
          <w:u w:val="none"/>
        </w:rPr>
        <w:t>Anexo 645688   - Llamada externa 335688</w:t>
      </w:r>
    </w:p>
    <w:p w:rsidR="006F62C1" w:rsidRPr="006F62C1" w:rsidRDefault="006F62C1" w:rsidP="006F62C1">
      <w:pPr>
        <w:spacing w:after="0"/>
      </w:pPr>
    </w:p>
    <w:p w:rsidR="00811FEB" w:rsidRDefault="003264B2" w:rsidP="00811FEB">
      <w:r>
        <w:t>Enviara información vía email.</w:t>
      </w:r>
    </w:p>
    <w:p w:rsidR="00CD2952" w:rsidRDefault="00CD2952" w:rsidP="00811FEB"/>
    <w:p w:rsidR="006A06FB" w:rsidRPr="006A06FB" w:rsidRDefault="006A06FB" w:rsidP="006A06FB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C</w:t>
      </w:r>
      <w:r w:rsidRPr="006A06FB">
        <w:rPr>
          <w:b/>
          <w:bCs/>
          <w:color w:val="0070C0"/>
        </w:rPr>
        <w:t xml:space="preserve">onsulta </w:t>
      </w:r>
      <w:r>
        <w:rPr>
          <w:b/>
          <w:bCs/>
          <w:color w:val="0070C0"/>
        </w:rPr>
        <w:t>M</w:t>
      </w:r>
      <w:r w:rsidRPr="006A06FB">
        <w:rPr>
          <w:b/>
          <w:bCs/>
          <w:color w:val="0070C0"/>
        </w:rPr>
        <w:t>édica</w:t>
      </w:r>
    </w:p>
    <w:p w:rsidR="00F16983" w:rsidRDefault="00BC26FF" w:rsidP="00BC26FF">
      <w:pPr>
        <w:spacing w:after="0" w:line="240" w:lineRule="auto"/>
        <w:rPr>
          <w:color w:val="FF0000"/>
        </w:rPr>
      </w:pPr>
      <w:r>
        <w:t>Dra. Jimenez pres</w:t>
      </w:r>
      <w:r w:rsidR="00FF5781">
        <w:t xml:space="preserve">enta </w:t>
      </w:r>
      <w:r w:rsidR="00F16983">
        <w:t xml:space="preserve">la </w:t>
      </w:r>
      <w:r w:rsidR="00F16983" w:rsidRPr="004F3720">
        <w:t xml:space="preserve">evolución de </w:t>
      </w:r>
      <w:r w:rsidR="006A06FB" w:rsidRPr="004F3720">
        <w:t xml:space="preserve">Lista de Espera </w:t>
      </w:r>
      <w:r w:rsidR="00F16983" w:rsidRPr="004F3720">
        <w:t>con corte 13 de Junio 2019.</w:t>
      </w:r>
      <w:r w:rsidR="004F3720" w:rsidRPr="004F3720">
        <w:t xml:space="preserve"> Se recuerda que la responsabilidad de la Lista de Espera es de quien deriva así como de quien resuelve</w:t>
      </w:r>
      <w:r w:rsidR="004F3720" w:rsidRPr="00964FFC">
        <w:rPr>
          <w:color w:val="FF0000"/>
        </w:rPr>
        <w:t>.</w:t>
      </w:r>
    </w:p>
    <w:p w:rsidR="00067D48" w:rsidRDefault="00067D48" w:rsidP="00BC26FF">
      <w:pPr>
        <w:spacing w:after="0" w:line="240" w:lineRule="auto"/>
      </w:pPr>
    </w:p>
    <w:tbl>
      <w:tblPr>
        <w:tblW w:w="5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992"/>
        <w:gridCol w:w="993"/>
        <w:gridCol w:w="992"/>
        <w:gridCol w:w="992"/>
      </w:tblGrid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 Corte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F16983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1720B5" w:rsidRDefault="00F16983" w:rsidP="00946791">
            <w:pPr>
              <w:spacing w:after="0" w:line="240" w:lineRule="auto"/>
            </w:pPr>
            <w:r>
              <w:rPr>
                <w:bCs/>
              </w:rPr>
              <w:t>02-04-2019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15.554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1.187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10.771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3.596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15.070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672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8.844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5.554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</w:pPr>
            <w:r>
              <w:rPr>
                <w:bCs/>
              </w:rPr>
              <w:t>22-04-2019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14.886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8.796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5.520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30-05-2019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14.305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7.623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6.280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13-06-2019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16.471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6.484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9.680</w:t>
            </w:r>
          </w:p>
        </w:tc>
      </w:tr>
    </w:tbl>
    <w:p w:rsidR="00F16983" w:rsidRDefault="00F16983" w:rsidP="00BC26FF">
      <w:pPr>
        <w:spacing w:after="0" w:line="240" w:lineRule="auto"/>
      </w:pPr>
    </w:p>
    <w:p w:rsidR="00067D48" w:rsidRDefault="00067D48"/>
    <w:p w:rsidR="00902073" w:rsidRDefault="00902073"/>
    <w:p w:rsidR="00902073" w:rsidRDefault="00902073"/>
    <w:p w:rsidR="00902073" w:rsidRDefault="00902073"/>
    <w:p w:rsidR="00902073" w:rsidRDefault="00902073"/>
    <w:p w:rsidR="00902073" w:rsidRDefault="00902073"/>
    <w:p w:rsidR="00902073" w:rsidRDefault="00902073"/>
    <w:p w:rsidR="00BC26FF" w:rsidRPr="004F3720" w:rsidRDefault="004F3720" w:rsidP="00BC26FF">
      <w:pPr>
        <w:spacing w:after="0" w:line="240" w:lineRule="auto"/>
      </w:pPr>
      <w:r w:rsidRPr="004F3720">
        <w:t>Lista</w:t>
      </w:r>
      <w:r w:rsidR="00FF5781" w:rsidRPr="004F3720">
        <w:t xml:space="preserve"> de </w:t>
      </w:r>
      <w:r w:rsidRPr="004F3720">
        <w:t>Espera Consulta Nueva de Especialidad según Especialidad</w:t>
      </w:r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851"/>
        <w:gridCol w:w="850"/>
        <w:gridCol w:w="797"/>
      </w:tblGrid>
      <w:tr w:rsidR="00811FEB" w:rsidRPr="00811FEB" w:rsidTr="00F16983">
        <w:trPr>
          <w:trHeight w:val="14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1FEB" w:rsidRPr="00811FEB" w:rsidRDefault="00811FEB" w:rsidP="00811F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LEC AL 13 DE JUNIO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811FEB" w:rsidRPr="00811FEB" w:rsidTr="00F16983">
        <w:trPr>
          <w:trHeight w:val="10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F16983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16.471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F16983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F16983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6.484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F16983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9.680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Oftalmología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4.438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CL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2.798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1.479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Otorrinolaringología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1.467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1.014</w:t>
            </w:r>
          </w:p>
        </w:tc>
      </w:tr>
      <w:tr w:rsidR="00811FEB" w:rsidRPr="00811FEB" w:rsidTr="00811FEB">
        <w:trPr>
          <w:trHeight w:val="13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Cirugía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1.232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773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Cardiología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1.017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566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Traumatología y Ortopedia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673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Ginecología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497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Neurología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303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proofErr w:type="spellStart"/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Coloproctología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517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Neurología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246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Urología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362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Traumatología y Ortopedia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278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Dermatología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355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293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Cirugía Vascular Periférica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296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Pediatría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227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Endocrinología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143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Cirugía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189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Gastroenterología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166</w:t>
            </w:r>
          </w:p>
        </w:tc>
      </w:tr>
      <w:tr w:rsidR="00811FEB" w:rsidRPr="00811FEB" w:rsidTr="00811FEB">
        <w:trPr>
          <w:trHeight w:val="1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Neurocirugía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176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Anestesiología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81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Nutriólogo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91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Cirugía de Tórax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144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 xml:space="preserve">Cirugía de Cabeza y Cuello </w:t>
            </w:r>
            <w:proofErr w:type="spellStart"/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M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á</w:t>
            </w: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xilo</w:t>
            </w:r>
            <w:proofErr w:type="spellEnd"/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 xml:space="preserve"> Facial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128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Hematología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55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Reumatología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74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Gastroenterología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67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Medicina Física y Rehabilitación (Fisiatría Adulto)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76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Nefrología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45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proofErr w:type="spellStart"/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Enf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.</w:t>
            </w: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Respiratorias de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61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Cirugía Plástica y Reparadora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61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Nutriólogo Pediátrico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40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Psiquiatría Pediátrica y de la Adolescencia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29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Endocrinología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26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Psiquiatría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8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proofErr w:type="spellStart"/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Enf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. Respiratorias Pediátricas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27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Infectología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17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Cardiología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17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Oncología 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20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Nefrología Pediátrico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19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Infectología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Neonatología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15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proofErr w:type="spellStart"/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Hemato</w:t>
            </w:r>
            <w:proofErr w:type="spellEnd"/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-Oncología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12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Genética Clínica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12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Urología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Radioterapia Oncológica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Ginecología Pediátrica y de la Adolescencia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Cirugía Plástica y Reparadora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</w:tr>
      <w:tr w:rsidR="00811FEB" w:rsidRPr="00811FEB" w:rsidTr="00811FEB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Reumatología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>1</w:t>
            </w:r>
          </w:p>
        </w:tc>
      </w:tr>
    </w:tbl>
    <w:p w:rsidR="00811FEB" w:rsidRDefault="00811FEB" w:rsidP="00811FEB">
      <w:pPr>
        <w:spacing w:after="0" w:line="240" w:lineRule="auto"/>
        <w:rPr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>SIGTE, 13-06-2019</w:t>
      </w:r>
    </w:p>
    <w:p w:rsidR="00F16983" w:rsidRPr="00811FEB" w:rsidRDefault="00F16983" w:rsidP="00811FEB">
      <w:pPr>
        <w:spacing w:after="0" w:line="240" w:lineRule="auto"/>
        <w:rPr>
          <w:b/>
          <w:sz w:val="20"/>
        </w:rPr>
      </w:pPr>
    </w:p>
    <w:p w:rsidR="00A55DFA" w:rsidRPr="00067D48" w:rsidRDefault="00067D48" w:rsidP="00A55DFA">
      <w:pPr>
        <w:pStyle w:val="Prrafodelista"/>
        <w:numPr>
          <w:ilvl w:val="0"/>
          <w:numId w:val="24"/>
        </w:numPr>
        <w:jc w:val="both"/>
      </w:pPr>
      <w:r>
        <w:t xml:space="preserve">Sra. </w:t>
      </w:r>
      <w:r w:rsidR="00A55DFA" w:rsidRPr="00067D48">
        <w:t xml:space="preserve">Adriana </w:t>
      </w:r>
      <w:proofErr w:type="spellStart"/>
      <w:r w:rsidR="00A55DFA" w:rsidRPr="00067D48">
        <w:t>Raddatz</w:t>
      </w:r>
      <w:proofErr w:type="spellEnd"/>
      <w:r w:rsidR="00A55DFA" w:rsidRPr="00067D48">
        <w:t xml:space="preserve"> informa </w:t>
      </w:r>
      <w:r>
        <w:t>sobre</w:t>
      </w:r>
      <w:r w:rsidR="00A55DFA" w:rsidRPr="00067D48">
        <w:t xml:space="preserve"> Capacitación para Contralores en Phoenix para la </w:t>
      </w:r>
      <w:r>
        <w:t>primera</w:t>
      </w:r>
      <w:r w:rsidR="00A55DFA" w:rsidRPr="00067D48">
        <w:t xml:space="preserve"> semana de Julio en grupos de 6 personas. Horario de 08:00 a 10:00 </w:t>
      </w:r>
      <w:proofErr w:type="spellStart"/>
      <w:r w:rsidR="00A55DFA" w:rsidRPr="00067D48">
        <w:t>ó</w:t>
      </w:r>
      <w:proofErr w:type="spellEnd"/>
      <w:r w:rsidR="00A55DFA" w:rsidRPr="00067D48">
        <w:t xml:space="preserve"> 14:30 a 16:30 </w:t>
      </w:r>
      <w:proofErr w:type="spellStart"/>
      <w:r w:rsidR="00A55DFA" w:rsidRPr="00067D48">
        <w:t>hrs</w:t>
      </w:r>
      <w:proofErr w:type="spellEnd"/>
      <w:r w:rsidR="00A55DFA" w:rsidRPr="00067D48">
        <w:t xml:space="preserve">. Interesados contactar a </w:t>
      </w:r>
      <w:hyperlink r:id="rId8" w:history="1">
        <w:r w:rsidR="00A55DFA" w:rsidRPr="00067D48">
          <w:rPr>
            <w:rStyle w:val="Hipervnculo"/>
            <w:color w:val="auto"/>
          </w:rPr>
          <w:t>Adriana.raddatz@redsalud.gov.cl</w:t>
        </w:r>
      </w:hyperlink>
    </w:p>
    <w:p w:rsidR="00A55DFA" w:rsidRPr="00A55DFA" w:rsidRDefault="00A55DFA" w:rsidP="00A55DFA">
      <w:pPr>
        <w:pStyle w:val="Prrafodelista"/>
        <w:numPr>
          <w:ilvl w:val="0"/>
          <w:numId w:val="24"/>
        </w:numPr>
        <w:jc w:val="both"/>
      </w:pPr>
      <w:r w:rsidRPr="00A55DFA">
        <w:lastRenderedPageBreak/>
        <w:t xml:space="preserve">Se solicita a </w:t>
      </w:r>
      <w:r w:rsidR="00067D48">
        <w:t xml:space="preserve">Sra. </w:t>
      </w:r>
      <w:r w:rsidRPr="00A55DFA">
        <w:t xml:space="preserve">Adriana </w:t>
      </w:r>
      <w:proofErr w:type="spellStart"/>
      <w:r w:rsidRPr="00A55DFA">
        <w:t>Raddatz</w:t>
      </w:r>
      <w:proofErr w:type="spellEnd"/>
      <w:r w:rsidRPr="00A55DFA">
        <w:t xml:space="preserve"> </w:t>
      </w:r>
      <w:r w:rsidR="00067D48">
        <w:t>confeccionar</w:t>
      </w:r>
      <w:r w:rsidRPr="00A55DFA">
        <w:t xml:space="preserve"> video explicativo de</w:t>
      </w:r>
      <w:r w:rsidR="00067D48">
        <w:t>l uso</w:t>
      </w:r>
      <w:r w:rsidRPr="00A55DFA">
        <w:t xml:space="preserve"> Phoenix, ya que existe recambio de personal.</w:t>
      </w:r>
    </w:p>
    <w:p w:rsidR="004F3720" w:rsidRPr="004F3720" w:rsidRDefault="004F3720" w:rsidP="004F3720">
      <w:pPr>
        <w:pStyle w:val="Prrafodelista"/>
        <w:numPr>
          <w:ilvl w:val="0"/>
          <w:numId w:val="24"/>
        </w:numPr>
        <w:jc w:val="both"/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Al revisar la Lista de Espera por:</w:t>
      </w:r>
    </w:p>
    <w:p w:rsidR="004F3720" w:rsidRPr="004F3720" w:rsidRDefault="004F3720" w:rsidP="004F3720">
      <w:pPr>
        <w:pStyle w:val="Prrafodelista"/>
        <w:rPr>
          <w:rFonts w:ascii="Verdana" w:eastAsia="Times New Roman" w:hAnsi="Verdana" w:cs="Times New Roman"/>
          <w:color w:val="333333"/>
          <w:sz w:val="18"/>
          <w:szCs w:val="18"/>
          <w:lang w:eastAsia="es-CL"/>
        </w:rPr>
      </w:pPr>
    </w:p>
    <w:p w:rsidR="004F3720" w:rsidRPr="004F3720" w:rsidRDefault="004F3720" w:rsidP="004F3720">
      <w:pPr>
        <w:pStyle w:val="Prrafodelista"/>
        <w:numPr>
          <w:ilvl w:val="1"/>
          <w:numId w:val="24"/>
        </w:numPr>
        <w:jc w:val="both"/>
      </w:pPr>
      <w:r w:rsidRPr="004F3720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s-CL"/>
        </w:rPr>
        <w:t>Anestesiología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L"/>
        </w:rPr>
        <w:t>: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 Se sugiere conversar con Dr. Brousse como Jefe (S) sobre problema de horario 2° anestesista que trabaja con Dra. Arce y que no tiene agendado pacientes.</w:t>
      </w:r>
    </w:p>
    <w:p w:rsidR="004F3720" w:rsidRPr="004F3720" w:rsidRDefault="004F3720" w:rsidP="004F3720">
      <w:pPr>
        <w:pStyle w:val="Prrafodelista"/>
        <w:numPr>
          <w:ilvl w:val="1"/>
          <w:numId w:val="24"/>
        </w:numPr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L"/>
        </w:rPr>
      </w:pPr>
      <w:r w:rsidRPr="004F3720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s-CL"/>
        </w:rPr>
        <w:t>Oftalmología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L"/>
        </w:rPr>
        <w:t>:</w:t>
      </w:r>
      <w:r w:rsidRPr="004F3720">
        <w:rPr>
          <w:rFonts w:ascii="Verdana" w:eastAsia="Times New Roman" w:hAnsi="Verdana" w:cs="Times New Roman"/>
          <w:color w:val="333333"/>
          <w:sz w:val="18"/>
          <w:szCs w:val="18"/>
          <w:lang w:eastAsia="es-CL"/>
        </w:rPr>
        <w:t xml:space="preserve"> Ruth Hermosilla sugiere que pacientes en LE y derivados a HBO, ojala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L"/>
        </w:rPr>
        <w:t xml:space="preserve">puedan ser </w:t>
      </w:r>
      <w:r w:rsidRPr="004F3720">
        <w:rPr>
          <w:rFonts w:ascii="Verdana" w:eastAsia="Times New Roman" w:hAnsi="Verdana" w:cs="Times New Roman"/>
          <w:color w:val="333333"/>
          <w:sz w:val="18"/>
          <w:szCs w:val="18"/>
          <w:lang w:eastAsia="es-CL"/>
        </w:rPr>
        <w:t>derivarlos a APS.</w:t>
      </w:r>
    </w:p>
    <w:p w:rsidR="004F3720" w:rsidRPr="00A55DFA" w:rsidRDefault="004F3720" w:rsidP="004F3720">
      <w:pPr>
        <w:pStyle w:val="Prrafodelista"/>
        <w:jc w:val="both"/>
      </w:pPr>
    </w:p>
    <w:p w:rsidR="0085407C" w:rsidRPr="003264B2" w:rsidRDefault="0085407C" w:rsidP="0085407C">
      <w:pPr>
        <w:pStyle w:val="Prrafodelista"/>
        <w:jc w:val="both"/>
      </w:pPr>
    </w:p>
    <w:p w:rsidR="00FF5781" w:rsidRPr="006A06FB" w:rsidRDefault="00FF5781" w:rsidP="00FF5781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Odontológica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51"/>
        <w:gridCol w:w="705"/>
        <w:gridCol w:w="704"/>
        <w:gridCol w:w="706"/>
        <w:gridCol w:w="706"/>
        <w:gridCol w:w="706"/>
        <w:gridCol w:w="717"/>
        <w:gridCol w:w="717"/>
      </w:tblGrid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BDD6EE" w:themeFill="accent1" w:themeFillTint="66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Especialidad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2013</w:t>
            </w:r>
          </w:p>
        </w:tc>
        <w:tc>
          <w:tcPr>
            <w:tcW w:w="708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2014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708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2019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BDD6EE" w:themeFill="accent1" w:themeFillTint="66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6.480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8" w:type="dxa"/>
            <w:shd w:val="clear" w:color="auto" w:fill="BDD6EE" w:themeFill="accent1" w:themeFillTint="66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194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302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622</w:t>
            </w:r>
          </w:p>
        </w:tc>
        <w:tc>
          <w:tcPr>
            <w:tcW w:w="708" w:type="dxa"/>
            <w:shd w:val="clear" w:color="auto" w:fill="BDD6EE" w:themeFill="accent1" w:themeFillTint="66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2.944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2.405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Endodoncia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1.751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978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696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Ortodoncia</w:t>
            </w:r>
            <w:r w:rsidRPr="00F1698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Ortop</w:t>
            </w:r>
            <w:proofErr w:type="spellEnd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Dento</w:t>
            </w:r>
            <w:proofErr w:type="spellEnd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Maxilofacial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1.507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194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290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383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444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183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Rehabilitación: Prótesis Removible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1.343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549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716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Rehabilitación: Prótesis Fija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691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517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170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y Traumatología Buco Maxilofacial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562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288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267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Odontopediatría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290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218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Trast</w:t>
            </w:r>
            <w:proofErr w:type="spellEnd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Temp</w:t>
            </w:r>
            <w:proofErr w:type="spellEnd"/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. y Dolor Orofacial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94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52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Periodoncia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138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103</w:t>
            </w:r>
          </w:p>
        </w:tc>
      </w:tr>
      <w:tr w:rsidR="00124677" w:rsidRPr="002E4ED1" w:rsidTr="00124677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Bucal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708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09" w:type="dxa"/>
            <w:vAlign w:val="bottom"/>
          </w:tcPr>
          <w:p w:rsidR="00124677" w:rsidRPr="00F16983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</w:tbl>
    <w:p w:rsidR="00124677" w:rsidRPr="00811FEB" w:rsidRDefault="00124677" w:rsidP="00124677">
      <w:pPr>
        <w:spacing w:after="0" w:line="240" w:lineRule="auto"/>
        <w:rPr>
          <w:b/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>SIGTE, 13-06-2019</w:t>
      </w:r>
    </w:p>
    <w:p w:rsidR="004B326B" w:rsidRDefault="004B326B" w:rsidP="004B326B">
      <w:pPr>
        <w:spacing w:after="0" w:line="240" w:lineRule="auto"/>
      </w:pPr>
    </w:p>
    <w:p w:rsidR="003C6D82" w:rsidRPr="003264B2" w:rsidRDefault="0005405D" w:rsidP="00040B5E">
      <w:pPr>
        <w:pStyle w:val="Prrafodelista"/>
        <w:numPr>
          <w:ilvl w:val="0"/>
          <w:numId w:val="25"/>
        </w:numPr>
        <w:jc w:val="both"/>
      </w:pPr>
      <w:r w:rsidRPr="0005405D">
        <w:t>Aun existen algunos problemas en los código</w:t>
      </w:r>
      <w:r>
        <w:t>s</w:t>
      </w:r>
      <w:r w:rsidRPr="0005405D">
        <w:t xml:space="preserve"> de las prestaciones </w:t>
      </w:r>
      <w:r>
        <w:t xml:space="preserve">Odontológicas que se consideran como Consultas Médicas y no como debieran ser </w:t>
      </w:r>
      <w:r w:rsidRPr="0005405D">
        <w:rPr>
          <w:rFonts w:ascii="Verdana" w:eastAsia="Times New Roman" w:hAnsi="Verdana" w:cs="Times New Roman"/>
          <w:sz w:val="18"/>
          <w:szCs w:val="18"/>
          <w:lang w:eastAsia="es-CL"/>
        </w:rPr>
        <w:t>“Cirugía y Traumatología Buco Maxilofacial”</w:t>
      </w:r>
      <w:r w:rsidR="003264B2">
        <w:rPr>
          <w:rFonts w:ascii="Verdana" w:eastAsia="Times New Roman" w:hAnsi="Verdana" w:cs="Times New Roman"/>
          <w:sz w:val="18"/>
          <w:szCs w:val="18"/>
          <w:lang w:eastAsia="es-CL"/>
        </w:rPr>
        <w:t>.</w:t>
      </w:r>
    </w:p>
    <w:p w:rsidR="00B91C3D" w:rsidRPr="00B91C3D" w:rsidRDefault="003264B2" w:rsidP="00B91C3D">
      <w:pPr>
        <w:pStyle w:val="Prrafodelista"/>
        <w:numPr>
          <w:ilvl w:val="0"/>
          <w:numId w:val="25"/>
        </w:numPr>
        <w:jc w:val="both"/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Se recuerda que no existe contralor en Hospital Base San José Osorno, pasa directamente a equipo de trabajo en Phoenix versión 1.910.</w:t>
      </w:r>
    </w:p>
    <w:p w:rsidR="00B91C3D" w:rsidRDefault="00B91C3D" w:rsidP="003264B2">
      <w:pPr>
        <w:pStyle w:val="Prrafodelista"/>
        <w:ind w:left="0"/>
      </w:pPr>
    </w:p>
    <w:p w:rsidR="003264B2" w:rsidRDefault="003264B2" w:rsidP="003264B2">
      <w:pPr>
        <w:pStyle w:val="Prrafodelista"/>
        <w:ind w:left="0"/>
      </w:pPr>
    </w:p>
    <w:p w:rsidR="00067D48" w:rsidRDefault="00067D48">
      <w:pPr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:rsidR="00E37C08" w:rsidRDefault="00FF5781" w:rsidP="00E37C08">
      <w:pPr>
        <w:pStyle w:val="Prrafodelista"/>
        <w:numPr>
          <w:ilvl w:val="0"/>
          <w:numId w:val="8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Quirúrgica</w:t>
      </w:r>
    </w:p>
    <w:tbl>
      <w:tblPr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793"/>
        <w:gridCol w:w="709"/>
        <w:gridCol w:w="709"/>
        <w:gridCol w:w="717"/>
        <w:gridCol w:w="717"/>
        <w:gridCol w:w="718"/>
      </w:tblGrid>
      <w:tr w:rsidR="00F16983" w:rsidRPr="00E37C08" w:rsidTr="00F16983">
        <w:trPr>
          <w:trHeight w:val="22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LISTA ESPERA QX POR ESPECIALIDAD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6.006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1.087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2.521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2.377</w:t>
            </w:r>
          </w:p>
        </w:tc>
      </w:tr>
      <w:tr w:rsidR="00004CDE" w:rsidRPr="00E37C08" w:rsidTr="00F16983">
        <w:trPr>
          <w:trHeight w:val="6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C08" w:rsidRPr="00E37C08" w:rsidRDefault="00E37C08" w:rsidP="00E37C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Cirugía Mayor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F16983" w:rsidRPr="00E37C08" w:rsidTr="00F16983">
        <w:trPr>
          <w:trHeight w:val="6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Traumatológica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324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Cardiovascular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235</w:t>
            </w:r>
          </w:p>
        </w:tc>
      </w:tr>
      <w:tr w:rsidR="00004CDE" w:rsidRPr="00004CDE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004CDE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Cirugía Maxilofacial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185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615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Oftalmológica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130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Otorrinolaringológica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217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Abdominal - Cole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129</w:t>
            </w:r>
          </w:p>
        </w:tc>
      </w:tr>
      <w:tr w:rsidR="00F16983" w:rsidRPr="00E37C08" w:rsidTr="00F16983">
        <w:trPr>
          <w:trHeight w:val="1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Abdominal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128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Pediatría Urología Y Nefrología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110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Ginecológica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100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Urología Y Nefrología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79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Cabeza Y Cuello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55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Proctológica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Neurocirugía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004CDE" w:rsidRPr="00004CDE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004CDE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Cirugía Plástica Y Reparadora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10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Pediatría Traumatológica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14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Pediatría Abdominal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14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Pediatría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Pediatría Abdominal-Cole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Cirugía Menor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CDE" w:rsidRPr="00E37C08" w:rsidRDefault="00004CDE" w:rsidP="00946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CDE" w:rsidRPr="00E37C08" w:rsidRDefault="00004CDE" w:rsidP="00946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CDE" w:rsidRPr="00E37C08" w:rsidRDefault="00004CDE" w:rsidP="00946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CDE" w:rsidRPr="00E37C08" w:rsidRDefault="00004CDE" w:rsidP="00946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CDE" w:rsidRPr="00E37C08" w:rsidRDefault="00004CDE" w:rsidP="00946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CDE" w:rsidRPr="00E37C08" w:rsidRDefault="00004CDE" w:rsidP="00946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F16983" w:rsidRPr="00E37C08" w:rsidTr="00F16983">
        <w:trPr>
          <w:trHeight w:val="1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es-CL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es-CL"/>
              </w:rPr>
              <w:t xml:space="preserve">iopsia Piel y/o mucosa x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es-CL"/>
              </w:rPr>
              <w:t>curetaje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es-CL"/>
              </w:rPr>
              <w:t xml:space="preserve"> o sección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76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Cirugía tegumentos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29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Pediatría tegumentos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16</w:t>
            </w:r>
          </w:p>
        </w:tc>
      </w:tr>
      <w:tr w:rsidR="00F16983" w:rsidRPr="00E37C08" w:rsidTr="00F16983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Extirpación de lesiones benignas por </w:t>
            </w: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sec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tangencial, </w:t>
            </w: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curetaje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y/o fulguración hasta 15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12</w:t>
            </w:r>
          </w:p>
        </w:tc>
      </w:tr>
      <w:tr w:rsidR="00F16983" w:rsidRPr="00E37C08" w:rsidTr="00F16983">
        <w:trPr>
          <w:trHeight w:val="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Onicectomia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total o parcial simple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</w:tr>
      <w:tr w:rsidR="00F16983" w:rsidRPr="00E37C08" w:rsidTr="00F1698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Extirpación de lesión benigna </w:t>
            </w: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subepidermica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, incluye tumor sólido, quiste epidérmico y lipoma por lesión (cara,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cuello, genitales)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F16983" w:rsidRPr="00E37C08" w:rsidTr="00F16983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Pediatría abdominal - cole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</w:tr>
      <w:tr w:rsidR="00F16983" w:rsidRPr="00E37C08" w:rsidTr="00F1698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Extirpación, reparación o biopsia, total o parcial, de lesiones benignas cutáneas por </w:t>
            </w: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excision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- cabeza, cuello y genitales desde 4 y hasta 6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</w:tr>
      <w:tr w:rsidR="00F16983" w:rsidRPr="00E37C08" w:rsidTr="00F1698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Extirpación, reparación o biopsia, total o parcial, de lesiones benignas cutáneas por </w:t>
            </w: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excision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- cabeza, cuello, genitales hasta 3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F16983" w:rsidRPr="00E37C08" w:rsidTr="00F1698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Tratamiento por electro de hemangiomas o </w:t>
            </w: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telangectasias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hasta 15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F16983" w:rsidRPr="00E37C08" w:rsidTr="00F1698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Extirpación de </w:t>
            </w:r>
            <w:r w:rsidR="00F16983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lesión</w:t>
            </w: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benigna sub</w:t>
            </w:r>
            <w:r w:rsidR="00F16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F16983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epidérmica</w:t>
            </w: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, incluye tumor </w:t>
            </w:r>
            <w:r w:rsidR="00F16983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sólido</w:t>
            </w: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, quiste epidérmico y lipoma por </w:t>
            </w:r>
            <w:r w:rsidR="00F16983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lesión</w:t>
            </w: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- resto del cuerpo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F16983" w:rsidRPr="00E37C08" w:rsidTr="00F1698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F16983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Extirpación</w:t>
            </w:r>
            <w:r w:rsidR="00004CDE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, </w:t>
            </w: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reparación</w:t>
            </w:r>
            <w:r w:rsidR="00004CDE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o biopsia, total o parcial, de lesiones benignas cutáneas por </w:t>
            </w:r>
            <w:proofErr w:type="spellStart"/>
            <w:r w:rsidR="00004CDE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excision</w:t>
            </w:r>
            <w:proofErr w:type="spellEnd"/>
            <w:r w:rsidR="00004CDE"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- resto del cuerpo hasta 3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F16983" w:rsidRPr="00E37C08" w:rsidTr="00F1698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Extirpación, reparación o biopsia, total o parcial, de lesiones benignas cutáneas por </w:t>
            </w:r>
            <w:proofErr w:type="spellStart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excision</w:t>
            </w:r>
            <w:proofErr w:type="spellEnd"/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- resto del cuerpo desde 4 y hasta 6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DE" w:rsidRPr="00E37C08" w:rsidRDefault="00004CDE" w:rsidP="00004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</w:tbl>
    <w:p w:rsidR="00F16983" w:rsidRPr="00811FEB" w:rsidRDefault="00F16983" w:rsidP="00F16983">
      <w:pPr>
        <w:spacing w:after="0" w:line="240" w:lineRule="auto"/>
        <w:rPr>
          <w:b/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>SIGTE, 13-06-2019</w:t>
      </w:r>
    </w:p>
    <w:p w:rsidR="00E20399" w:rsidRPr="003264B2" w:rsidRDefault="00E20399" w:rsidP="00E20399">
      <w:pPr>
        <w:pStyle w:val="Prrafodelista"/>
        <w:ind w:left="1080"/>
        <w:jc w:val="both"/>
        <w:rPr>
          <w:b/>
          <w:bCs/>
        </w:rPr>
      </w:pPr>
    </w:p>
    <w:p w:rsidR="003264B2" w:rsidRPr="00D22282" w:rsidRDefault="00067D48" w:rsidP="00D22282">
      <w:pPr>
        <w:pStyle w:val="Prrafodelista"/>
        <w:numPr>
          <w:ilvl w:val="0"/>
          <w:numId w:val="29"/>
        </w:numPr>
        <w:jc w:val="both"/>
        <w:rPr>
          <w:rFonts w:ascii="Calibri" w:eastAsia="Times New Roman" w:hAnsi="Calibri" w:cs="Times New Roman"/>
        </w:rPr>
      </w:pPr>
      <w:r>
        <w:t>S</w:t>
      </w:r>
      <w:r w:rsidRPr="00D22282">
        <w:t xml:space="preserve">r. </w:t>
      </w:r>
      <w:r w:rsidR="003264B2" w:rsidRPr="00D22282">
        <w:t xml:space="preserve">Omar Contreras informa que el día 4 de Julio en el Hospital de </w:t>
      </w:r>
      <w:r w:rsidR="00FF5781" w:rsidRPr="00D22282">
        <w:t>P</w:t>
      </w:r>
      <w:r w:rsidR="003264B2" w:rsidRPr="00D22282">
        <w:t xml:space="preserve">urranque se realizará una capacitación </w:t>
      </w:r>
      <w:r w:rsidR="00D22282" w:rsidRPr="00D22282">
        <w:t xml:space="preserve">por el Dr. </w:t>
      </w:r>
      <w:proofErr w:type="spellStart"/>
      <w:r w:rsidR="00D22282" w:rsidRPr="00D22282">
        <w:t>Heine</w:t>
      </w:r>
      <w:proofErr w:type="spellEnd"/>
      <w:r w:rsidR="00D22282" w:rsidRPr="00D22282">
        <w:t xml:space="preserve"> </w:t>
      </w:r>
      <w:r w:rsidR="00D22282" w:rsidRPr="00D22282">
        <w:rPr>
          <w:rFonts w:ascii="Calibri" w:eastAsia="Times New Roman" w:hAnsi="Calibri" w:cs="Times New Roman"/>
        </w:rPr>
        <w:t>dirigida a médicos que realizan cirugías menores y médicos contralores</w:t>
      </w:r>
      <w:r w:rsidR="00D22282">
        <w:t xml:space="preserve">. </w:t>
      </w:r>
      <w:r w:rsidR="00D22282" w:rsidRPr="00D22282">
        <w:rPr>
          <w:rFonts w:ascii="Calibri" w:eastAsia="Times New Roman" w:hAnsi="Calibri" w:cs="Times New Roman"/>
        </w:rPr>
        <w:t>Se invitó a 2 pr</w:t>
      </w:r>
      <w:r w:rsidR="00D22282">
        <w:rPr>
          <w:rFonts w:ascii="Calibri" w:eastAsia="Times New Roman" w:hAnsi="Calibri" w:cs="Times New Roman"/>
        </w:rPr>
        <w:t xml:space="preserve">ofesionales por establecimiento desde las </w:t>
      </w:r>
      <w:r w:rsidR="00D22282" w:rsidRPr="00D22282">
        <w:t xml:space="preserve">08:30 </w:t>
      </w:r>
      <w:proofErr w:type="spellStart"/>
      <w:r w:rsidR="00D22282" w:rsidRPr="00D22282">
        <w:t>hrs</w:t>
      </w:r>
      <w:proofErr w:type="spellEnd"/>
      <w:r w:rsidR="00D22282" w:rsidRPr="00D22282">
        <w:t>.</w:t>
      </w:r>
    </w:p>
    <w:p w:rsidR="001650E1" w:rsidRDefault="001650E1" w:rsidP="001650E1">
      <w:pPr>
        <w:pStyle w:val="Prrafodelista"/>
        <w:jc w:val="both"/>
      </w:pPr>
    </w:p>
    <w:p w:rsidR="00067D48" w:rsidRDefault="00067D48" w:rsidP="001650E1">
      <w:pPr>
        <w:pStyle w:val="Prrafodelista"/>
        <w:jc w:val="both"/>
      </w:pPr>
    </w:p>
    <w:p w:rsidR="00FF5781" w:rsidRDefault="00FF5781" w:rsidP="00FF5781">
      <w:pPr>
        <w:pStyle w:val="Prrafodelista"/>
        <w:numPr>
          <w:ilvl w:val="0"/>
          <w:numId w:val="8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Procedimientos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695"/>
        <w:gridCol w:w="557"/>
        <w:gridCol w:w="557"/>
        <w:gridCol w:w="553"/>
        <w:gridCol w:w="546"/>
        <w:gridCol w:w="645"/>
        <w:gridCol w:w="557"/>
      </w:tblGrid>
      <w:tr w:rsidR="00E37C08" w:rsidRPr="00963F05" w:rsidTr="005D6C40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D6C40" w:rsidRPr="00963F05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Procedimientos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2019</w:t>
            </w:r>
          </w:p>
        </w:tc>
      </w:tr>
      <w:tr w:rsidR="00E37C08" w:rsidRPr="00963F05" w:rsidTr="00067D4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D6C40" w:rsidRPr="00067D48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3.179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79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215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674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1.312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881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E37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</w:t>
            </w:r>
            <w:r w:rsidR="00E37C0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olonoscopia Larga (incluye </w:t>
            </w:r>
            <w:proofErr w:type="spellStart"/>
            <w:r w:rsidR="00E37C0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sigmoidoscopia</w:t>
            </w:r>
            <w:proofErr w:type="spellEnd"/>
            <w:r w:rsidR="00E37C0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, colonoscopia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I</w:t>
            </w:r>
            <w:r w:rsidR="00E37C0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1.236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78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186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278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299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lectromiografias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cualquier región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,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j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.: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Musculos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facial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168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98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(OFTALMOLOGIA) Oftalmo-&amp; Retinografía, ambos ojos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0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astroduodenoscopia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incluye esofagoscopia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331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E.E.G. DE 16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o más canales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incluye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. 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11-01-006)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135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E.E.G. P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ost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-P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rivación de sueño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incluye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. 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11-01-004) EQ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18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Mamografía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bilateral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exp</w:t>
            </w:r>
            <w:proofErr w:type="spellEnd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0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cotomografía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Mamaria bilateral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Cs/>
                <w:color w:val="000000"/>
                <w:sz w:val="20"/>
                <w:szCs w:val="32"/>
                <w:lang w:eastAsia="es-CL"/>
              </w:rPr>
              <w:t>0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cotomografía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abdominal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incluye Hígado, Vía biliar, vesícula, páncreas, riñones, bazo,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retroperitoneo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y grandes vasos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CL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Pelvis, cadera o coxofemoral de RN, lactante o niño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&lt;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6 años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E37C0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E37C0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E37C0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</w:tr>
      <w:tr w:rsidR="00E37C08" w:rsidRPr="00963F05" w:rsidTr="00E37C0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40" w:rsidRPr="005D6C40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eyuno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-</w:t>
            </w: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leoscopia</w:t>
            </w:r>
            <w:proofErr w:type="spellEnd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ncluye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Esofago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-G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astro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-D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uodenoscopia</w:t>
            </w:r>
            <w:proofErr w:type="spellEnd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E37C0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E37C0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E37C08" w:rsidRDefault="00E37C0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E37C0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L"/>
              </w:rPr>
              <w:t>0</w:t>
            </w:r>
          </w:p>
        </w:tc>
      </w:tr>
    </w:tbl>
    <w:p w:rsidR="005D6C40" w:rsidRPr="00811FEB" w:rsidRDefault="005D6C40" w:rsidP="005D6C40">
      <w:pPr>
        <w:spacing w:after="0" w:line="240" w:lineRule="auto"/>
        <w:rPr>
          <w:b/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>SIGTE, 13-06-2019</w:t>
      </w:r>
    </w:p>
    <w:p w:rsidR="00A04DE9" w:rsidRPr="00244D3D" w:rsidRDefault="00A04DE9" w:rsidP="00A04DE9">
      <w:pPr>
        <w:pStyle w:val="Prrafodelista"/>
        <w:numPr>
          <w:ilvl w:val="0"/>
          <w:numId w:val="25"/>
        </w:numPr>
        <w:jc w:val="both"/>
      </w:pPr>
      <w:r w:rsidRPr="00244D3D">
        <w:rPr>
          <w:rFonts w:ascii="Verdana" w:eastAsia="Times New Roman" w:hAnsi="Verdana" w:cs="Times New Roman"/>
          <w:sz w:val="18"/>
          <w:szCs w:val="18"/>
          <w:lang w:eastAsia="es-CL"/>
        </w:rPr>
        <w:t>Se solicita a DEGI que incorpore en los Manuales de LE el instructivo para extraer lista de espera en aplicación Iris de Rayen (causal N°16).</w:t>
      </w:r>
    </w:p>
    <w:p w:rsidR="00A04DE9" w:rsidRPr="00244D3D" w:rsidRDefault="00A04DE9" w:rsidP="00A04DE9">
      <w:pPr>
        <w:pStyle w:val="Prrafodelista"/>
        <w:numPr>
          <w:ilvl w:val="0"/>
          <w:numId w:val="25"/>
        </w:numPr>
        <w:jc w:val="both"/>
      </w:pPr>
      <w:r w:rsidRPr="00244D3D">
        <w:rPr>
          <w:rFonts w:ascii="Verdana" w:eastAsia="Times New Roman" w:hAnsi="Verdana" w:cs="Times New Roman"/>
          <w:sz w:val="18"/>
          <w:szCs w:val="18"/>
          <w:lang w:eastAsia="es-CL"/>
        </w:rPr>
        <w:t>DSM San Pablo comenta que los convenios ya fueron licitados y aceptados hace 1 semana.</w:t>
      </w:r>
    </w:p>
    <w:p w:rsidR="00A04DE9" w:rsidRPr="00244D3D" w:rsidRDefault="00A04DE9" w:rsidP="00A04DE9">
      <w:pPr>
        <w:pStyle w:val="Prrafodelista"/>
        <w:numPr>
          <w:ilvl w:val="0"/>
          <w:numId w:val="25"/>
        </w:num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244D3D">
        <w:rPr>
          <w:rFonts w:ascii="Verdana" w:eastAsia="Times New Roman" w:hAnsi="Verdana" w:cs="Times New Roman"/>
          <w:sz w:val="18"/>
          <w:szCs w:val="18"/>
          <w:lang w:eastAsia="es-CL"/>
        </w:rPr>
        <w:t>Aclarar que sucede con los procedimientos que solicita DSM Sa</w:t>
      </w:r>
      <w:r w:rsidR="00244D3D" w:rsidRPr="00244D3D">
        <w:rPr>
          <w:rFonts w:ascii="Verdana" w:eastAsia="Times New Roman" w:hAnsi="Verdana" w:cs="Times New Roman"/>
          <w:sz w:val="18"/>
          <w:szCs w:val="18"/>
          <w:lang w:eastAsia="es-CL"/>
        </w:rPr>
        <w:t>n Juan y resuelve DSM San Juan como:</w:t>
      </w:r>
    </w:p>
    <w:p w:rsidR="00FA1B44" w:rsidRPr="00244D3D" w:rsidRDefault="00FA1B44" w:rsidP="00883A2B">
      <w:pPr>
        <w:pStyle w:val="Prrafodelista"/>
        <w:numPr>
          <w:ilvl w:val="1"/>
          <w:numId w:val="25"/>
        </w:numPr>
        <w:spacing w:after="0" w:line="240" w:lineRule="auto"/>
        <w:ind w:right="-234"/>
        <w:rPr>
          <w:rFonts w:ascii="Calibri" w:eastAsia="Times New Roman" w:hAnsi="Calibri" w:cs="Times New Roman"/>
        </w:rPr>
      </w:pPr>
      <w:r w:rsidRPr="00244D3D">
        <w:rPr>
          <w:rFonts w:ascii="Calibri" w:eastAsia="Times New Roman" w:hAnsi="Calibri" w:cs="Times New Roman"/>
        </w:rPr>
        <w:t xml:space="preserve">Endoscopias digestivas, el DSM San Juan compra servicios por convenio de </w:t>
      </w:r>
      <w:proofErr w:type="spellStart"/>
      <w:r w:rsidRPr="00244D3D">
        <w:rPr>
          <w:rFonts w:ascii="Calibri" w:eastAsia="Times New Roman" w:hAnsi="Calibri" w:cs="Times New Roman"/>
        </w:rPr>
        <w:t>Resolutividad</w:t>
      </w:r>
      <w:proofErr w:type="spellEnd"/>
      <w:r w:rsidRPr="00244D3D">
        <w:rPr>
          <w:rFonts w:ascii="Calibri" w:eastAsia="Times New Roman" w:hAnsi="Calibri" w:cs="Times New Roman"/>
        </w:rPr>
        <w:t>.</w:t>
      </w:r>
    </w:p>
    <w:p w:rsidR="00FA1B44" w:rsidRPr="00244D3D" w:rsidRDefault="00244D3D" w:rsidP="00883A2B">
      <w:pPr>
        <w:pStyle w:val="Prrafodelista"/>
        <w:numPr>
          <w:ilvl w:val="1"/>
          <w:numId w:val="25"/>
        </w:numPr>
        <w:spacing w:after="0" w:line="240" w:lineRule="auto"/>
        <w:ind w:right="-23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</w:t>
      </w:r>
      <w:r w:rsidR="00FA1B44" w:rsidRPr="00244D3D">
        <w:rPr>
          <w:rFonts w:ascii="Calibri" w:eastAsia="Times New Roman" w:hAnsi="Calibri" w:cs="Times New Roman"/>
        </w:rPr>
        <w:t xml:space="preserve">amografías compra servicios y además </w:t>
      </w:r>
      <w:r w:rsidRPr="00244D3D">
        <w:rPr>
          <w:rFonts w:ascii="Calibri" w:eastAsia="Times New Roman" w:hAnsi="Calibri" w:cs="Times New Roman"/>
        </w:rPr>
        <w:t>está</w:t>
      </w:r>
      <w:r w:rsidR="00FA1B44" w:rsidRPr="00244D3D">
        <w:rPr>
          <w:rFonts w:ascii="Calibri" w:eastAsia="Times New Roman" w:hAnsi="Calibri" w:cs="Times New Roman"/>
        </w:rPr>
        <w:t xml:space="preserve"> resolviendo en el HBSJO.</w:t>
      </w:r>
    </w:p>
    <w:p w:rsidR="00FA1B44" w:rsidRPr="00244D3D" w:rsidRDefault="00244D3D" w:rsidP="00883A2B">
      <w:pPr>
        <w:pStyle w:val="Prrafodelista"/>
        <w:numPr>
          <w:ilvl w:val="1"/>
          <w:numId w:val="25"/>
        </w:numPr>
        <w:spacing w:after="0" w:line="240" w:lineRule="auto"/>
        <w:ind w:right="-234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Ecotomografías</w:t>
      </w:r>
      <w:proofErr w:type="spellEnd"/>
      <w:r>
        <w:rPr>
          <w:rFonts w:ascii="Calibri" w:eastAsia="Times New Roman" w:hAnsi="Calibri" w:cs="Times New Roman"/>
        </w:rPr>
        <w:t xml:space="preserve"> mamarias y abdominales a través de</w:t>
      </w:r>
      <w:r w:rsidR="00FA1B44" w:rsidRPr="00244D3D">
        <w:rPr>
          <w:rFonts w:ascii="Calibri" w:eastAsia="Times New Roman" w:hAnsi="Calibri" w:cs="Times New Roman"/>
        </w:rPr>
        <w:t xml:space="preserve"> compra servicios.</w:t>
      </w:r>
    </w:p>
    <w:p w:rsidR="00A04DE9" w:rsidRPr="00B00976" w:rsidRDefault="00A04DE9" w:rsidP="00A04DE9">
      <w:pPr>
        <w:pStyle w:val="Prrafodelista"/>
        <w:ind w:left="360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es-CL"/>
        </w:rPr>
      </w:pPr>
    </w:p>
    <w:p w:rsidR="00964FFC" w:rsidRPr="003921FA" w:rsidRDefault="00964FFC" w:rsidP="00964FFC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Compromisos de Gestión COMGES 5 – Consultas Médicas</w:t>
      </w:r>
    </w:p>
    <w:p w:rsidR="00964FFC" w:rsidRPr="003921FA" w:rsidRDefault="00964FFC" w:rsidP="00964FFC">
      <w:pPr>
        <w:jc w:val="both"/>
        <w:rPr>
          <w:b/>
          <w:color w:val="0070C0"/>
        </w:rPr>
      </w:pPr>
      <w:r>
        <w:rPr>
          <w:b/>
          <w:color w:val="0070C0"/>
        </w:rPr>
        <w:t>Indicar 5.1 Nivel Primario</w:t>
      </w:r>
    </w:p>
    <w:p w:rsidR="00964FFC" w:rsidRPr="003921FA" w:rsidRDefault="00964FFC" w:rsidP="00964FFC">
      <w:r>
        <w:rPr>
          <w:b/>
          <w:bCs/>
        </w:rPr>
        <w:t xml:space="preserve">Indicador 5.1.1. </w:t>
      </w:r>
      <w:r w:rsidRPr="003921FA">
        <w:rPr>
          <w:bCs/>
        </w:rPr>
        <w:t>Resolución del 100% de personas con fechas de ingreso igual y anterior 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2126"/>
      </w:tblGrid>
      <w:tr w:rsidR="00964FFC" w:rsidTr="00100163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rPr>
                <w:b/>
              </w:rPr>
            </w:pPr>
            <w:r w:rsidRPr="009E6D5F">
              <w:rPr>
                <w:b/>
              </w:rPr>
              <w:t>Cortes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rPr>
                <w:b/>
              </w:rPr>
            </w:pPr>
            <w:r w:rsidRPr="009E6D5F">
              <w:rPr>
                <w:b/>
              </w:rPr>
              <w:t>Meta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jc w:val="center"/>
              <w:rPr>
                <w:b/>
              </w:rPr>
            </w:pPr>
            <w:r w:rsidRPr="009E6D5F">
              <w:rPr>
                <w:b/>
              </w:rPr>
              <w:t>Estado</w:t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 w:rsidRPr="00946791">
              <w:t>1er Corte</w:t>
            </w:r>
          </w:p>
        </w:tc>
        <w:tc>
          <w:tcPr>
            <w:tcW w:w="2977" w:type="dxa"/>
          </w:tcPr>
          <w:p w:rsidR="00964FFC" w:rsidRDefault="00964FFC" w:rsidP="00100163">
            <w:r w:rsidRPr="00946791">
              <w:t xml:space="preserve">No tener LE anterior al </w:t>
            </w:r>
            <w:r>
              <w:t>2014</w:t>
            </w:r>
          </w:p>
        </w:tc>
        <w:tc>
          <w:tcPr>
            <w:tcW w:w="2126" w:type="dxa"/>
          </w:tcPr>
          <w:p w:rsidR="00964FFC" w:rsidRPr="00946791" w:rsidRDefault="00964FFC" w:rsidP="00100163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0B3D6C1E" wp14:editId="4E697651">
                  <wp:extent cx="198407" cy="198407"/>
                  <wp:effectExtent l="0" t="0" r="0" b="0"/>
                  <wp:docPr id="4" name="Imagen 4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>
              <w:t>2do</w:t>
            </w:r>
            <w:r w:rsidRPr="00946791">
              <w:t xml:space="preserve"> Corte</w:t>
            </w:r>
          </w:p>
        </w:tc>
        <w:tc>
          <w:tcPr>
            <w:tcW w:w="2977" w:type="dxa"/>
          </w:tcPr>
          <w:p w:rsidR="00964FFC" w:rsidRDefault="00964FFC" w:rsidP="00100163">
            <w:r w:rsidRPr="00946791">
              <w:t xml:space="preserve">No tener LE anterior al </w:t>
            </w:r>
            <w:r>
              <w:t>2015</w:t>
            </w:r>
          </w:p>
        </w:tc>
        <w:tc>
          <w:tcPr>
            <w:tcW w:w="2126" w:type="dxa"/>
          </w:tcPr>
          <w:p w:rsidR="00964FFC" w:rsidRPr="00946791" w:rsidRDefault="00964FFC" w:rsidP="00100163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EECDCD7" wp14:editId="1FE0EEA9">
                  <wp:extent cx="198407" cy="198407"/>
                  <wp:effectExtent l="0" t="0" r="0" b="0"/>
                  <wp:docPr id="9" name="Imagen 9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>
              <w:t>3</w:t>
            </w:r>
            <w:r w:rsidRPr="00946791">
              <w:t>er Corte</w:t>
            </w:r>
          </w:p>
        </w:tc>
        <w:tc>
          <w:tcPr>
            <w:tcW w:w="2977" w:type="dxa"/>
          </w:tcPr>
          <w:p w:rsidR="00964FFC" w:rsidRDefault="00964FFC" w:rsidP="00100163">
            <w:r w:rsidRPr="00946791">
              <w:t xml:space="preserve">No tener LE anterior al </w:t>
            </w:r>
            <w:r>
              <w:t>2016</w:t>
            </w:r>
          </w:p>
        </w:tc>
        <w:tc>
          <w:tcPr>
            <w:tcW w:w="2126" w:type="dxa"/>
          </w:tcPr>
          <w:p w:rsidR="00964FFC" w:rsidRPr="00946791" w:rsidRDefault="00964FFC" w:rsidP="00100163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33098F9" wp14:editId="4A693830">
                  <wp:extent cx="198407" cy="198407"/>
                  <wp:effectExtent l="0" t="0" r="0" b="0"/>
                  <wp:docPr id="10" name="Imagen 10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>
              <w:t>4to</w:t>
            </w:r>
            <w:r w:rsidRPr="00946791">
              <w:t xml:space="preserve"> Corte</w:t>
            </w:r>
          </w:p>
        </w:tc>
        <w:tc>
          <w:tcPr>
            <w:tcW w:w="2977" w:type="dxa"/>
          </w:tcPr>
          <w:p w:rsidR="00964FFC" w:rsidRDefault="00964FFC" w:rsidP="00100163">
            <w:r w:rsidRPr="00946791">
              <w:t xml:space="preserve">No tener LE anterior al </w:t>
            </w:r>
            <w:r>
              <w:t>2017</w:t>
            </w:r>
          </w:p>
        </w:tc>
        <w:tc>
          <w:tcPr>
            <w:tcW w:w="2126" w:type="dxa"/>
          </w:tcPr>
          <w:p w:rsidR="00964FFC" w:rsidRPr="00946791" w:rsidRDefault="00964FFC" w:rsidP="00100163">
            <w:pPr>
              <w:jc w:val="center"/>
            </w:pPr>
            <w:r>
              <w:t>Pendiente 307</w:t>
            </w:r>
          </w:p>
        </w:tc>
      </w:tr>
    </w:tbl>
    <w:p w:rsidR="00964FFC" w:rsidRDefault="00964FFC" w:rsidP="00964FFC"/>
    <w:p w:rsidR="00964FFC" w:rsidRDefault="00964FFC" w:rsidP="00883A2B">
      <w:pPr>
        <w:ind w:right="-234"/>
        <w:rPr>
          <w:b/>
          <w:bCs/>
        </w:rPr>
      </w:pPr>
      <w:r w:rsidRPr="00946791">
        <w:rPr>
          <w:b/>
          <w:bCs/>
        </w:rPr>
        <w:t>Indicador 5.1.2</w:t>
      </w:r>
      <w:r>
        <w:rPr>
          <w:b/>
          <w:bCs/>
        </w:rPr>
        <w:t xml:space="preserve">: </w:t>
      </w:r>
      <w:r w:rsidRPr="00946791">
        <w:t xml:space="preserve">Porcentaje de disminución de la lista de espera por Consulta Nueva de Especialidad Médica con destino APS de las especialidades de Oftalmología, Otorrinolaringología y Dermatología, ingresada con fecha igual o anterior al 31 de diciembre del año 2017. </w:t>
      </w:r>
      <w:r w:rsidRPr="00946791">
        <w:rPr>
          <w:b/>
          <w:bCs/>
        </w:rPr>
        <w:t>Línea Base: 1.360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1276"/>
        <w:gridCol w:w="1842"/>
      </w:tblGrid>
      <w:tr w:rsidR="00964FFC" w:rsidTr="00100163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rPr>
                <w:b/>
              </w:rPr>
            </w:pPr>
            <w:r w:rsidRPr="009E6D5F">
              <w:rPr>
                <w:b/>
              </w:rPr>
              <w:t>Cortes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rPr>
                <w:b/>
              </w:rPr>
            </w:pPr>
            <w:r w:rsidRPr="009E6D5F">
              <w:rPr>
                <w:b/>
              </w:rPr>
              <w:t>Meta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rPr>
                <w:b/>
              </w:rPr>
            </w:pPr>
            <w:r>
              <w:rPr>
                <w:b/>
              </w:rPr>
              <w:t>A Resolver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rPr>
                <w:b/>
              </w:rPr>
            </w:pPr>
            <w:r>
              <w:rPr>
                <w:b/>
              </w:rPr>
              <w:t>Realizado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964FFC" w:rsidRPr="009E6D5F" w:rsidRDefault="00964FFC" w:rsidP="00100163">
            <w:pPr>
              <w:jc w:val="center"/>
              <w:rPr>
                <w:b/>
              </w:rPr>
            </w:pPr>
            <w:r w:rsidRPr="009E6D5F">
              <w:rPr>
                <w:b/>
              </w:rPr>
              <w:t>Estado</w:t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 w:rsidRPr="00946791">
              <w:t>1er Corte</w:t>
            </w:r>
          </w:p>
        </w:tc>
        <w:tc>
          <w:tcPr>
            <w:tcW w:w="992" w:type="dxa"/>
          </w:tcPr>
          <w:p w:rsidR="00964FFC" w:rsidRDefault="00964FFC" w:rsidP="00100163">
            <w:pPr>
              <w:jc w:val="center"/>
            </w:pPr>
            <w:r>
              <w:t>10%</w:t>
            </w:r>
          </w:p>
        </w:tc>
        <w:tc>
          <w:tcPr>
            <w:tcW w:w="1418" w:type="dxa"/>
          </w:tcPr>
          <w:p w:rsidR="00964FFC" w:rsidRDefault="00964FFC" w:rsidP="00100163">
            <w:pPr>
              <w:jc w:val="center"/>
              <w:rPr>
                <w:noProof/>
                <w:lang w:eastAsia="es-CL"/>
              </w:rPr>
            </w:pPr>
            <w:r w:rsidRPr="00946791">
              <w:t>136</w:t>
            </w:r>
          </w:p>
        </w:tc>
        <w:tc>
          <w:tcPr>
            <w:tcW w:w="1276" w:type="dxa"/>
          </w:tcPr>
          <w:p w:rsidR="00964FFC" w:rsidRDefault="00964FFC" w:rsidP="0010016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407</w:t>
            </w:r>
          </w:p>
        </w:tc>
        <w:tc>
          <w:tcPr>
            <w:tcW w:w="1842" w:type="dxa"/>
          </w:tcPr>
          <w:p w:rsidR="00964FFC" w:rsidRPr="00946791" w:rsidRDefault="00964FFC" w:rsidP="00100163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19D57F6" wp14:editId="4C445FFE">
                  <wp:extent cx="198407" cy="198407"/>
                  <wp:effectExtent l="0" t="0" r="0" b="0"/>
                  <wp:docPr id="8" name="Imagen 8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>
              <w:t>2do</w:t>
            </w:r>
            <w:r w:rsidRPr="00946791">
              <w:t xml:space="preserve"> Corte</w:t>
            </w:r>
          </w:p>
        </w:tc>
        <w:tc>
          <w:tcPr>
            <w:tcW w:w="992" w:type="dxa"/>
          </w:tcPr>
          <w:p w:rsidR="00964FFC" w:rsidRDefault="00964FFC" w:rsidP="00100163">
            <w:pPr>
              <w:jc w:val="center"/>
            </w:pPr>
            <w:r w:rsidRPr="00946791">
              <w:t>20%</w:t>
            </w:r>
          </w:p>
        </w:tc>
        <w:tc>
          <w:tcPr>
            <w:tcW w:w="1418" w:type="dxa"/>
          </w:tcPr>
          <w:p w:rsidR="00964FFC" w:rsidRDefault="00964FFC" w:rsidP="00100163">
            <w:pPr>
              <w:jc w:val="center"/>
              <w:rPr>
                <w:noProof/>
                <w:lang w:eastAsia="es-CL"/>
              </w:rPr>
            </w:pPr>
            <w:r w:rsidRPr="00946791">
              <w:t>272</w:t>
            </w:r>
          </w:p>
        </w:tc>
        <w:tc>
          <w:tcPr>
            <w:tcW w:w="1276" w:type="dxa"/>
          </w:tcPr>
          <w:p w:rsidR="00964FFC" w:rsidRDefault="00964FFC" w:rsidP="00100163">
            <w:pPr>
              <w:jc w:val="center"/>
              <w:rPr>
                <w:noProof/>
                <w:lang w:eastAsia="es-CL"/>
              </w:rPr>
            </w:pPr>
          </w:p>
        </w:tc>
        <w:tc>
          <w:tcPr>
            <w:tcW w:w="1842" w:type="dxa"/>
          </w:tcPr>
          <w:p w:rsidR="00964FFC" w:rsidRPr="00946791" w:rsidRDefault="00964FFC" w:rsidP="00100163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6237520" wp14:editId="4951555E">
                  <wp:extent cx="198407" cy="198407"/>
                  <wp:effectExtent l="0" t="0" r="0" b="0"/>
                  <wp:docPr id="11" name="Imagen 11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>
              <w:t>3</w:t>
            </w:r>
            <w:r w:rsidRPr="00946791">
              <w:t>er Corte</w:t>
            </w:r>
          </w:p>
        </w:tc>
        <w:tc>
          <w:tcPr>
            <w:tcW w:w="992" w:type="dxa"/>
          </w:tcPr>
          <w:p w:rsidR="00964FFC" w:rsidRDefault="00964FFC" w:rsidP="00100163">
            <w:pPr>
              <w:jc w:val="center"/>
            </w:pPr>
            <w:r w:rsidRPr="00946791">
              <w:t>60%</w:t>
            </w:r>
          </w:p>
        </w:tc>
        <w:tc>
          <w:tcPr>
            <w:tcW w:w="1418" w:type="dxa"/>
          </w:tcPr>
          <w:p w:rsidR="00964FFC" w:rsidRPr="00946791" w:rsidRDefault="00964FFC" w:rsidP="00100163">
            <w:pPr>
              <w:jc w:val="center"/>
            </w:pPr>
            <w:r w:rsidRPr="00946791">
              <w:t>816</w:t>
            </w:r>
          </w:p>
        </w:tc>
        <w:tc>
          <w:tcPr>
            <w:tcW w:w="1276" w:type="dxa"/>
          </w:tcPr>
          <w:p w:rsidR="00964FFC" w:rsidRPr="00946791" w:rsidRDefault="00964FFC" w:rsidP="00100163">
            <w:pPr>
              <w:jc w:val="center"/>
            </w:pPr>
          </w:p>
        </w:tc>
        <w:tc>
          <w:tcPr>
            <w:tcW w:w="1842" w:type="dxa"/>
          </w:tcPr>
          <w:p w:rsidR="00964FFC" w:rsidRPr="00946791" w:rsidRDefault="00964FFC" w:rsidP="00100163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044E405" wp14:editId="7DEC6ABB">
                  <wp:extent cx="198407" cy="198407"/>
                  <wp:effectExtent l="0" t="0" r="0" b="0"/>
                  <wp:docPr id="12" name="Imagen 12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Tr="00100163">
        <w:trPr>
          <w:jc w:val="center"/>
        </w:trPr>
        <w:tc>
          <w:tcPr>
            <w:tcW w:w="1271" w:type="dxa"/>
          </w:tcPr>
          <w:p w:rsidR="00964FFC" w:rsidRDefault="00964FFC" w:rsidP="00100163">
            <w:r>
              <w:t>4to</w:t>
            </w:r>
            <w:r w:rsidRPr="00946791">
              <w:t xml:space="preserve"> Corte</w:t>
            </w:r>
          </w:p>
        </w:tc>
        <w:tc>
          <w:tcPr>
            <w:tcW w:w="992" w:type="dxa"/>
          </w:tcPr>
          <w:p w:rsidR="00964FFC" w:rsidRDefault="00964FFC" w:rsidP="00100163">
            <w:pPr>
              <w:jc w:val="center"/>
            </w:pPr>
            <w:r w:rsidRPr="00946791">
              <w:t>100%</w:t>
            </w:r>
          </w:p>
        </w:tc>
        <w:tc>
          <w:tcPr>
            <w:tcW w:w="1418" w:type="dxa"/>
          </w:tcPr>
          <w:p w:rsidR="00964FFC" w:rsidRPr="00946791" w:rsidRDefault="00964FFC" w:rsidP="00100163">
            <w:pPr>
              <w:jc w:val="center"/>
            </w:pPr>
            <w:r w:rsidRPr="00946791">
              <w:t>1.360</w:t>
            </w:r>
          </w:p>
        </w:tc>
        <w:tc>
          <w:tcPr>
            <w:tcW w:w="1276" w:type="dxa"/>
          </w:tcPr>
          <w:p w:rsidR="00964FFC" w:rsidRPr="00946791" w:rsidRDefault="00964FFC" w:rsidP="00100163">
            <w:pPr>
              <w:jc w:val="center"/>
            </w:pPr>
          </w:p>
        </w:tc>
        <w:tc>
          <w:tcPr>
            <w:tcW w:w="1842" w:type="dxa"/>
          </w:tcPr>
          <w:p w:rsidR="00964FFC" w:rsidRPr="00946791" w:rsidRDefault="00964FFC" w:rsidP="00100163">
            <w:pPr>
              <w:jc w:val="center"/>
            </w:pPr>
            <w:r>
              <w:t>Pendiente 95</w:t>
            </w:r>
          </w:p>
        </w:tc>
      </w:tr>
    </w:tbl>
    <w:p w:rsidR="00067D48" w:rsidRDefault="00067D48" w:rsidP="00964FFC">
      <w:pPr>
        <w:jc w:val="both"/>
        <w:rPr>
          <w:b/>
          <w:color w:val="0070C0"/>
        </w:rPr>
      </w:pPr>
    </w:p>
    <w:p w:rsidR="00883A2B" w:rsidRDefault="00883A2B" w:rsidP="00964FFC">
      <w:pPr>
        <w:jc w:val="both"/>
        <w:rPr>
          <w:b/>
          <w:color w:val="0070C0"/>
        </w:rPr>
      </w:pPr>
    </w:p>
    <w:p w:rsidR="00964FFC" w:rsidRPr="003921FA" w:rsidRDefault="00964FFC" w:rsidP="00964FFC">
      <w:pPr>
        <w:jc w:val="both"/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Indicar 5.2 Nivel Secundario</w:t>
      </w:r>
    </w:p>
    <w:p w:rsidR="00964FFC" w:rsidRPr="00C930D9" w:rsidRDefault="00964FFC" w:rsidP="00964FFC">
      <w:r w:rsidRPr="00C930D9">
        <w:t xml:space="preserve">Porcentaje </w:t>
      </w:r>
      <w:r w:rsidRPr="008F57E1">
        <w:t>de casos resueltos de lista de espera de Consulta Nueva de Especialidad Médica con destino Atención Secundaria y Terciaria, según meta para cada Servicio de Salud</w:t>
      </w:r>
      <w:r w:rsidRPr="00C930D9">
        <w:t>.</w:t>
      </w:r>
    </w:p>
    <w:p w:rsidR="00964FFC" w:rsidRPr="00C930D9" w:rsidRDefault="00964FFC" w:rsidP="00964FFC">
      <w:r w:rsidRPr="00946791">
        <w:rPr>
          <w:b/>
          <w:bCs/>
        </w:rPr>
        <w:t>Indicador</w:t>
      </w:r>
      <w:r w:rsidRPr="00C930D9">
        <w:rPr>
          <w:b/>
          <w:bCs/>
        </w:rPr>
        <w:t xml:space="preserve"> 5.2.1</w:t>
      </w:r>
      <w:r w:rsidRPr="00CD2952">
        <w:rPr>
          <w:bCs/>
        </w:rPr>
        <w:t>. Resolución de 100% de casos con fecha de ingreso según meta definida para SS.</w:t>
      </w:r>
      <w:r>
        <w:rPr>
          <w:bCs/>
        </w:rPr>
        <w:t xml:space="preserve"> </w:t>
      </w:r>
      <w:r w:rsidRPr="00C930D9">
        <w:t>Según anualidad se deberían egresar 468, pero se acepta el 50% que es 234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52"/>
        <w:gridCol w:w="1999"/>
        <w:gridCol w:w="1559"/>
        <w:gridCol w:w="1134"/>
      </w:tblGrid>
      <w:tr w:rsidR="00964FFC" w:rsidRPr="00CD2952" w:rsidTr="00100163">
        <w:trPr>
          <w:trHeight w:val="229"/>
          <w:jc w:val="center"/>
        </w:trPr>
        <w:tc>
          <w:tcPr>
            <w:tcW w:w="125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  <w:bCs/>
              </w:rPr>
              <w:t>Corte</w:t>
            </w:r>
          </w:p>
        </w:tc>
        <w:tc>
          <w:tcPr>
            <w:tcW w:w="1552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  <w:bCs/>
              </w:rPr>
              <w:t>Fecha Ingreso Meta del Corte</w:t>
            </w:r>
          </w:p>
        </w:tc>
        <w:tc>
          <w:tcPr>
            <w:tcW w:w="199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N° Casos con fecha anterior a corte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% Cumplimiento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  <w:bCs/>
              </w:rPr>
              <w:t>Estado</w:t>
            </w:r>
          </w:p>
        </w:tc>
      </w:tr>
      <w:tr w:rsidR="00964FFC" w:rsidRPr="00CD2952" w:rsidTr="00100163">
        <w:trPr>
          <w:trHeight w:val="45"/>
          <w:jc w:val="center"/>
        </w:trPr>
        <w:tc>
          <w:tcPr>
            <w:tcW w:w="12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1° Corte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rPr>
                <w:b/>
                <w:bCs/>
              </w:rPr>
              <w:t>04-07-2017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143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60%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1C77CBE" wp14:editId="0D098C1F">
                  <wp:extent cx="117405" cy="153749"/>
                  <wp:effectExtent l="0" t="0" r="0" b="0"/>
                  <wp:docPr id="7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9" cy="1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RPr="00CD2952" w:rsidTr="00100163">
        <w:trPr>
          <w:trHeight w:val="45"/>
          <w:jc w:val="center"/>
        </w:trPr>
        <w:tc>
          <w:tcPr>
            <w:tcW w:w="12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2° Corte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rPr>
                <w:b/>
                <w:bCs/>
              </w:rPr>
              <w:t>11-12-2017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292 (pendientes)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 </w:t>
            </w:r>
          </w:p>
        </w:tc>
      </w:tr>
    </w:tbl>
    <w:p w:rsidR="00964FFC" w:rsidRDefault="00964FFC" w:rsidP="00E57EB2">
      <w:pPr>
        <w:spacing w:after="0"/>
        <w:rPr>
          <w:b/>
          <w:bCs/>
          <w:lang w:val="pt-BR"/>
        </w:rPr>
      </w:pPr>
    </w:p>
    <w:p w:rsidR="00964FFC" w:rsidRDefault="00964FFC" w:rsidP="0005405D">
      <w:pPr>
        <w:spacing w:after="0"/>
      </w:pPr>
      <w:r w:rsidRPr="00CD2952">
        <w:rPr>
          <w:b/>
          <w:bCs/>
          <w:lang w:val="pt-BR"/>
        </w:rPr>
        <w:t xml:space="preserve">Total a resolver </w:t>
      </w:r>
      <w:r>
        <w:rPr>
          <w:b/>
          <w:bCs/>
          <w:lang w:val="pt-BR"/>
        </w:rPr>
        <w:t xml:space="preserve">antes de </w:t>
      </w:r>
      <w:r w:rsidR="0005405D">
        <w:rPr>
          <w:b/>
          <w:bCs/>
          <w:lang w:val="pt-BR"/>
        </w:rPr>
        <w:t xml:space="preserve">2° </w:t>
      </w:r>
      <w:r>
        <w:rPr>
          <w:b/>
          <w:bCs/>
          <w:lang w:val="pt-BR"/>
        </w:rPr>
        <w:t>Corte</w:t>
      </w:r>
      <w:r w:rsidR="0005405D">
        <w:rPr>
          <w:b/>
          <w:bCs/>
          <w:lang w:val="pt-BR"/>
        </w:rPr>
        <w:t>:</w:t>
      </w:r>
    </w:p>
    <w:tbl>
      <w:tblPr>
        <w:tblW w:w="736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6"/>
        <w:gridCol w:w="708"/>
        <w:gridCol w:w="851"/>
        <w:gridCol w:w="850"/>
        <w:gridCol w:w="851"/>
        <w:gridCol w:w="850"/>
      </w:tblGrid>
      <w:tr w:rsidR="00964FFC" w:rsidRPr="00CD2952" w:rsidTr="00E57EB2">
        <w:trPr>
          <w:trHeight w:val="13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rPr>
                <w:b/>
              </w:rPr>
            </w:pPr>
            <w:r w:rsidRPr="00CD2952">
              <w:rPr>
                <w:b/>
              </w:rPr>
              <w:t>Establecimientos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Trim.1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Trim.2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Trim.3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Trim.4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>
              <w:rPr>
                <w:b/>
                <w:bCs/>
              </w:rPr>
              <w:t>Total</w:t>
            </w:r>
          </w:p>
        </w:tc>
      </w:tr>
      <w:tr w:rsidR="00964FFC" w:rsidRPr="00CD2952" w:rsidTr="00E57EB2">
        <w:trPr>
          <w:trHeight w:val="5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Hospital Base San José de Osorno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208</w:t>
            </w:r>
          </w:p>
        </w:tc>
      </w:tr>
      <w:tr w:rsidR="00964FFC" w:rsidRPr="00CD2952" w:rsidTr="00E57EB2">
        <w:trPr>
          <w:trHeight w:val="5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</w:pPr>
            <w:r>
              <w:t>CESFAM</w:t>
            </w:r>
            <w:r w:rsidRPr="00CD2952">
              <w:t xml:space="preserve"> Entre Lagos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63</w:t>
            </w:r>
          </w:p>
        </w:tc>
      </w:tr>
      <w:tr w:rsidR="00964FFC" w:rsidRPr="00CD2952" w:rsidTr="00E57EB2">
        <w:trPr>
          <w:trHeight w:val="13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</w:pPr>
            <w:r>
              <w:t>CESFAM</w:t>
            </w:r>
            <w:r w:rsidRPr="00CD2952">
              <w:t xml:space="preserve"> Dr. Marcelo Lopetegui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12</w:t>
            </w:r>
          </w:p>
        </w:tc>
      </w:tr>
      <w:tr w:rsidR="00964FFC" w:rsidRPr="00CD2952" w:rsidTr="00E57EB2">
        <w:trPr>
          <w:trHeight w:val="8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</w:pPr>
            <w:r w:rsidRPr="00CD2952">
              <w:t>Hospital de Puerto Octay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4</w:t>
            </w:r>
          </w:p>
        </w:tc>
      </w:tr>
      <w:tr w:rsidR="00964FFC" w:rsidRPr="00CD2952" w:rsidTr="00E57EB2">
        <w:trPr>
          <w:trHeight w:val="5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</w:pPr>
            <w:r>
              <w:t>CESFAM</w:t>
            </w:r>
            <w:r w:rsidRPr="00CD2952">
              <w:t xml:space="preserve"> Ovejería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2</w:t>
            </w:r>
          </w:p>
        </w:tc>
      </w:tr>
      <w:tr w:rsidR="00964FFC" w:rsidRPr="00CD2952" w:rsidTr="00E57EB2">
        <w:trPr>
          <w:trHeight w:val="5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</w:pPr>
            <w:r>
              <w:t>CESFAM</w:t>
            </w:r>
            <w:r w:rsidRPr="00CD2952">
              <w:t xml:space="preserve"> Practicante Pablo Araya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1</w:t>
            </w:r>
          </w:p>
        </w:tc>
      </w:tr>
      <w:tr w:rsidR="00964FFC" w:rsidRPr="00CD2952" w:rsidTr="00E57EB2">
        <w:trPr>
          <w:trHeight w:val="5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</w:pPr>
            <w:r>
              <w:t>CESFAM</w:t>
            </w:r>
            <w:r w:rsidRPr="00CD2952">
              <w:t xml:space="preserve"> Puaucho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1</w:t>
            </w:r>
          </w:p>
        </w:tc>
      </w:tr>
      <w:tr w:rsidR="00964FFC" w:rsidRPr="00CD2952" w:rsidTr="00E57EB2">
        <w:trPr>
          <w:trHeight w:val="5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</w:pPr>
            <w:r>
              <w:t>CESFAM</w:t>
            </w:r>
            <w:r w:rsidRPr="00CD2952">
              <w:t xml:space="preserve"> San Pablo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1</w:t>
            </w:r>
          </w:p>
        </w:tc>
      </w:tr>
      <w:tr w:rsidR="00964FFC" w:rsidRPr="00CD2952" w:rsidTr="00E57EB2">
        <w:trPr>
          <w:trHeight w:val="11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rPr>
                <w:b/>
              </w:rPr>
            </w:pPr>
            <w:r w:rsidRPr="00CD2952">
              <w:rPr>
                <w:b/>
              </w:rPr>
              <w:t xml:space="preserve">Total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  <w:rPr>
                <w:b/>
              </w:rPr>
            </w:pPr>
            <w:r w:rsidRPr="00CD2952"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292</w:t>
            </w:r>
          </w:p>
        </w:tc>
      </w:tr>
    </w:tbl>
    <w:p w:rsidR="00E57EB2" w:rsidRDefault="00E57EB2" w:rsidP="00964FFC">
      <w:pPr>
        <w:rPr>
          <w:b/>
          <w:bCs/>
        </w:rPr>
      </w:pPr>
    </w:p>
    <w:p w:rsidR="00964FFC" w:rsidRDefault="00964FFC" w:rsidP="00964FFC">
      <w:pPr>
        <w:rPr>
          <w:b/>
          <w:bCs/>
        </w:rPr>
      </w:pPr>
      <w:r w:rsidRPr="00C930D9">
        <w:rPr>
          <w:b/>
          <w:bCs/>
        </w:rPr>
        <w:t>Nota</w:t>
      </w:r>
      <w:r>
        <w:rPr>
          <w:b/>
          <w:bCs/>
        </w:rPr>
        <w:t>s</w:t>
      </w:r>
      <w:r w:rsidRPr="00C930D9">
        <w:rPr>
          <w:b/>
          <w:bCs/>
        </w:rPr>
        <w:t xml:space="preserve">: </w:t>
      </w:r>
    </w:p>
    <w:p w:rsidR="00964FFC" w:rsidRDefault="00964FFC" w:rsidP="00964FFC">
      <w:pPr>
        <w:pStyle w:val="Prrafodelista"/>
        <w:numPr>
          <w:ilvl w:val="0"/>
          <w:numId w:val="28"/>
        </w:numPr>
      </w:pPr>
      <w:r w:rsidRPr="00CD2952">
        <w:t>Para el segundo corte se sinceró LE consulta que había quedado</w:t>
      </w:r>
      <w:r>
        <w:t xml:space="preserve"> rezagada (LIMBO), lo que afecto</w:t>
      </w:r>
      <w:r w:rsidRPr="00CD2952">
        <w:t xml:space="preserve"> principalmente al HBSJO.</w:t>
      </w:r>
    </w:p>
    <w:p w:rsidR="00964FFC" w:rsidRPr="00C930D9" w:rsidRDefault="00964FFC" w:rsidP="00964FFC">
      <w:pPr>
        <w:pStyle w:val="Prrafodelista"/>
        <w:numPr>
          <w:ilvl w:val="0"/>
          <w:numId w:val="28"/>
        </w:numPr>
      </w:pPr>
      <w:r w:rsidRPr="00C930D9">
        <w:t>Existen 7 casos CNE destino Hospital Base Osorno de Otros Servicios de Salud.</w:t>
      </w:r>
    </w:p>
    <w:p w:rsidR="00964FFC" w:rsidRPr="00CD2952" w:rsidRDefault="00964FFC" w:rsidP="00964FFC">
      <w:pPr>
        <w:spacing w:after="0"/>
      </w:pPr>
      <w:r w:rsidRPr="00CD2952">
        <w:rPr>
          <w:b/>
          <w:bCs/>
        </w:rPr>
        <w:t>5.2.2. Resolución del 45% de su universo total según la meta definida para SS.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1559"/>
        <w:gridCol w:w="1417"/>
        <w:gridCol w:w="1560"/>
      </w:tblGrid>
      <w:tr w:rsidR="00964FFC" w:rsidRPr="00CD2952" w:rsidTr="004F3720">
        <w:trPr>
          <w:trHeight w:val="300"/>
        </w:trPr>
        <w:tc>
          <w:tcPr>
            <w:tcW w:w="112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Corte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rPr>
                <w:b/>
                <w:bCs/>
              </w:rPr>
              <w:t>Línea Base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N° Casos Resueltos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% Cumplimiento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Meta % Reducción</w:t>
            </w:r>
          </w:p>
        </w:tc>
        <w:tc>
          <w:tcPr>
            <w:tcW w:w="1560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Estado</w:t>
            </w:r>
          </w:p>
        </w:tc>
      </w:tr>
      <w:tr w:rsidR="00964FFC" w:rsidRPr="00CD2952" w:rsidTr="004F3720">
        <w:trPr>
          <w:trHeight w:val="300"/>
        </w:trPr>
        <w:tc>
          <w:tcPr>
            <w:tcW w:w="11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1° Corte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99580B" w:rsidRDefault="00964FFC" w:rsidP="00100163">
            <w:pPr>
              <w:spacing w:after="0"/>
              <w:jc w:val="center"/>
            </w:pPr>
            <w:r w:rsidRPr="0099580B">
              <w:rPr>
                <w:bCs/>
              </w:rPr>
              <w:t>3.121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704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22.6%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15%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25147EB" wp14:editId="4340E73A">
                  <wp:extent cx="198407" cy="198407"/>
                  <wp:effectExtent l="0" t="0" r="0" b="0"/>
                  <wp:docPr id="13" name="Imagen 13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RPr="00CD2952" w:rsidTr="004F3720">
        <w:trPr>
          <w:trHeight w:val="137"/>
        </w:trPr>
        <w:tc>
          <w:tcPr>
            <w:tcW w:w="11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2° Corte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99580B" w:rsidRDefault="00964FFC" w:rsidP="00100163">
            <w:pPr>
              <w:spacing w:after="0"/>
              <w:jc w:val="center"/>
            </w:pPr>
            <w:r w:rsidRPr="0099580B">
              <w:rPr>
                <w:bCs/>
              </w:rPr>
              <w:t>3.121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2423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45%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>
              <w:t>78% avance</w:t>
            </w:r>
          </w:p>
        </w:tc>
      </w:tr>
    </w:tbl>
    <w:p w:rsidR="00964FFC" w:rsidRDefault="00964FFC" w:rsidP="00964FFC"/>
    <w:p w:rsidR="00964FFC" w:rsidRPr="00CD2952" w:rsidRDefault="00964FFC" w:rsidP="00964FFC">
      <w:pPr>
        <w:spacing w:after="0"/>
      </w:pPr>
      <w:r>
        <w:rPr>
          <w:b/>
          <w:bCs/>
        </w:rPr>
        <w:t>5.2.3</w:t>
      </w:r>
      <w:r w:rsidRPr="00CD2952">
        <w:rPr>
          <w:b/>
          <w:bCs/>
        </w:rPr>
        <w:t xml:space="preserve"> Resolución 100% casos SENAME  generación según meta definida para cada servicio.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81"/>
        <w:gridCol w:w="1985"/>
        <w:gridCol w:w="1559"/>
        <w:gridCol w:w="1417"/>
        <w:gridCol w:w="1560"/>
      </w:tblGrid>
      <w:tr w:rsidR="004F3720" w:rsidRPr="00CD2952" w:rsidTr="004F3720">
        <w:trPr>
          <w:trHeight w:val="389"/>
        </w:trPr>
        <w:tc>
          <w:tcPr>
            <w:tcW w:w="1124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Corte</w:t>
            </w:r>
          </w:p>
        </w:tc>
        <w:tc>
          <w:tcPr>
            <w:tcW w:w="1281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Línea Base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N° Casos Resueltos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% Cumplimiento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Meta % Reducción</w:t>
            </w:r>
          </w:p>
        </w:tc>
        <w:tc>
          <w:tcPr>
            <w:tcW w:w="1560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Estado</w:t>
            </w:r>
          </w:p>
        </w:tc>
      </w:tr>
      <w:tr w:rsidR="00964FFC" w:rsidRPr="00CD2952" w:rsidTr="004F3720">
        <w:trPr>
          <w:trHeight w:val="300"/>
        </w:trPr>
        <w:tc>
          <w:tcPr>
            <w:tcW w:w="112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1° Corte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100%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</w:tr>
      <w:tr w:rsidR="00964FFC" w:rsidRPr="00CD2952" w:rsidTr="004F3720">
        <w:trPr>
          <w:trHeight w:val="147"/>
        </w:trPr>
        <w:tc>
          <w:tcPr>
            <w:tcW w:w="112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2° Corte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99580B" w:rsidRDefault="00964FFC" w:rsidP="00100163">
            <w:pPr>
              <w:spacing w:after="0"/>
              <w:jc w:val="center"/>
            </w:pPr>
            <w:r w:rsidRPr="0099580B">
              <w:rPr>
                <w:bCs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4F3720" w:rsidRDefault="00964FFC" w:rsidP="00100163">
            <w:pPr>
              <w:spacing w:after="0"/>
              <w:jc w:val="center"/>
              <w:rPr>
                <w:b/>
              </w:rPr>
            </w:pPr>
            <w:r w:rsidRPr="004F3720">
              <w:rPr>
                <w:b/>
                <w:color w:val="FF0000"/>
              </w:rPr>
              <w:t>Pend. 2 (HBO)</w:t>
            </w:r>
          </w:p>
        </w:tc>
      </w:tr>
    </w:tbl>
    <w:p w:rsidR="00964FFC" w:rsidRDefault="00964FFC" w:rsidP="00964FFC">
      <w:pPr>
        <w:rPr>
          <w:b/>
          <w:bCs/>
        </w:rPr>
      </w:pPr>
    </w:p>
    <w:p w:rsidR="00067D48" w:rsidRDefault="00067D48" w:rsidP="00964FFC">
      <w:pPr>
        <w:rPr>
          <w:b/>
          <w:bCs/>
        </w:rPr>
      </w:pPr>
    </w:p>
    <w:p w:rsidR="00067D48" w:rsidRDefault="00067D48" w:rsidP="00964FFC">
      <w:pPr>
        <w:rPr>
          <w:b/>
          <w:bCs/>
        </w:rPr>
      </w:pPr>
    </w:p>
    <w:p w:rsidR="00964FFC" w:rsidRPr="00CD2952" w:rsidRDefault="00964FFC" w:rsidP="00964FFC">
      <w:pPr>
        <w:spacing w:after="0"/>
      </w:pPr>
      <w:r>
        <w:rPr>
          <w:b/>
          <w:bCs/>
        </w:rPr>
        <w:t>5.2.4</w:t>
      </w:r>
      <w:r w:rsidRPr="00CD2952">
        <w:rPr>
          <w:b/>
          <w:bCs/>
        </w:rPr>
        <w:t xml:space="preserve"> Resolución 100% casos PRAIS primera generación según meta definida para cada servicio.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1559"/>
        <w:gridCol w:w="1417"/>
        <w:gridCol w:w="1560"/>
      </w:tblGrid>
      <w:tr w:rsidR="00964FFC" w:rsidRPr="00CD2952" w:rsidTr="004F3720">
        <w:trPr>
          <w:trHeight w:val="300"/>
        </w:trPr>
        <w:tc>
          <w:tcPr>
            <w:tcW w:w="112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Corte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Línea Base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N° Casos Resueltos esperados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% Cumplimiento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Meta % Reducción</w:t>
            </w:r>
          </w:p>
        </w:tc>
        <w:tc>
          <w:tcPr>
            <w:tcW w:w="1560" w:type="dxa"/>
            <w:shd w:val="clear" w:color="auto" w:fill="9CC2E5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rPr>
                <w:b/>
                <w:bCs/>
              </w:rPr>
              <w:t>Estado</w:t>
            </w:r>
          </w:p>
        </w:tc>
      </w:tr>
      <w:tr w:rsidR="00964FFC" w:rsidRPr="00CD2952" w:rsidTr="004F3720">
        <w:trPr>
          <w:trHeight w:val="300"/>
        </w:trPr>
        <w:tc>
          <w:tcPr>
            <w:tcW w:w="11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1° Corte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99580B" w:rsidRDefault="00964FFC" w:rsidP="00100163">
            <w:pPr>
              <w:spacing w:after="0"/>
              <w:jc w:val="center"/>
            </w:pPr>
            <w:r w:rsidRPr="0099580B">
              <w:rPr>
                <w:bCs/>
              </w:rPr>
              <w:t>Envío Base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100%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2BF36248" wp14:editId="330E1F33">
                  <wp:extent cx="198407" cy="198407"/>
                  <wp:effectExtent l="0" t="0" r="0" b="0"/>
                  <wp:docPr id="14" name="Imagen 14" descr="Resultado de imagen para image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5" cy="2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FC" w:rsidRPr="00CD2952" w:rsidTr="004F3720">
        <w:trPr>
          <w:trHeight w:val="300"/>
        </w:trPr>
        <w:tc>
          <w:tcPr>
            <w:tcW w:w="11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</w:pPr>
            <w:r w:rsidRPr="00CD2952">
              <w:t>2° Corte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99580B" w:rsidRDefault="00964FFC" w:rsidP="00100163">
            <w:pPr>
              <w:spacing w:after="0"/>
              <w:jc w:val="center"/>
            </w:pPr>
            <w:r w:rsidRPr="0099580B">
              <w:rPr>
                <w:bCs/>
              </w:rPr>
              <w:t>108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49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FFC" w:rsidRPr="00CD2952" w:rsidRDefault="00964FFC" w:rsidP="00100163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CD2952" w:rsidRDefault="00964FFC" w:rsidP="00100163">
            <w:pPr>
              <w:spacing w:after="0"/>
              <w:jc w:val="center"/>
            </w:pPr>
            <w:r w:rsidRPr="00CD2952">
              <w:t>45%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64FFC" w:rsidRPr="00E52A54" w:rsidRDefault="00067D48" w:rsidP="0010016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Pend</w:t>
            </w:r>
            <w:r w:rsidR="00100163">
              <w:rPr>
                <w:b/>
                <w:color w:val="FF0000"/>
              </w:rPr>
              <w:t>iente</w:t>
            </w:r>
            <w:r w:rsidR="00964FFC">
              <w:rPr>
                <w:b/>
                <w:color w:val="FF0000"/>
              </w:rPr>
              <w:t xml:space="preserve"> </w:t>
            </w:r>
            <w:r w:rsidR="00964FFC" w:rsidRPr="00E52A54">
              <w:rPr>
                <w:b/>
                <w:color w:val="FF0000"/>
              </w:rPr>
              <w:t>10</w:t>
            </w:r>
          </w:p>
        </w:tc>
      </w:tr>
    </w:tbl>
    <w:p w:rsidR="00964FFC" w:rsidRDefault="00964FFC" w:rsidP="00964FFC"/>
    <w:p w:rsidR="00793BDE" w:rsidRDefault="00FA40BB" w:rsidP="00FA40BB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17673E">
        <w:rPr>
          <w:b/>
          <w:color w:val="0070C0"/>
        </w:rPr>
        <w:t>Otros Temas</w:t>
      </w:r>
    </w:p>
    <w:p w:rsidR="00FF5781" w:rsidRPr="0017673E" w:rsidRDefault="00FF5781" w:rsidP="00FF5781">
      <w:pPr>
        <w:pStyle w:val="Prrafodelista"/>
        <w:ind w:left="360"/>
        <w:jc w:val="both"/>
        <w:rPr>
          <w:b/>
          <w:color w:val="0070C0"/>
        </w:rPr>
      </w:pPr>
    </w:p>
    <w:p w:rsidR="00557529" w:rsidRDefault="004F3720" w:rsidP="00557529">
      <w:pPr>
        <w:pStyle w:val="Prrafodelista"/>
        <w:numPr>
          <w:ilvl w:val="0"/>
          <w:numId w:val="26"/>
        </w:numPr>
        <w:jc w:val="both"/>
      </w:pPr>
      <w:r w:rsidRPr="004F3720">
        <w:rPr>
          <w:b/>
          <w:u w:val="single"/>
        </w:rPr>
        <w:t>COMGES N°15</w:t>
      </w:r>
      <w:r>
        <w:t xml:space="preserve">: </w:t>
      </w:r>
      <w:r w:rsidR="00964FFC" w:rsidRPr="00557529">
        <w:t xml:space="preserve">Daniela Barria, </w:t>
      </w:r>
      <w:r w:rsidR="00557529" w:rsidRPr="00557529">
        <w:t xml:space="preserve">encargada OIRS del Servicio de Salud </w:t>
      </w:r>
      <w:r w:rsidR="008D183E" w:rsidRPr="00557529">
        <w:t xml:space="preserve">comenta </w:t>
      </w:r>
      <w:r w:rsidR="00557529" w:rsidRPr="00557529">
        <w:t>respecto del FORTALECIMIENTO DE LA SATISFACCIÓN USUARIA. Donde se está trabajando en  acciones implementadas en el Diagnóstico y Diseño del Plan Cuatrienal de mejoramiento de la Acogida, Trato e Información a usuarios/as en la atención de Urgencia, Farmacia y Lista de Espera, en los establecimientos hospitalarios y de Atención Primaria de Salud.</w:t>
      </w:r>
    </w:p>
    <w:p w:rsidR="006F62C1" w:rsidRPr="00902073" w:rsidRDefault="006F62C1" w:rsidP="006F62C1">
      <w:pPr>
        <w:pStyle w:val="Prrafodelista"/>
        <w:ind w:left="360"/>
        <w:jc w:val="both"/>
      </w:pPr>
      <w:r w:rsidRPr="00902073">
        <w:t>Solicita a los establecimientos que están comprometidos en este corte, especialmente Cesfam Entrelagos que cumplan con lo establecido y generen sus planes de trabajo.</w:t>
      </w:r>
    </w:p>
    <w:p w:rsidR="0005405D" w:rsidRPr="00557529" w:rsidRDefault="0005405D" w:rsidP="0005405D">
      <w:pPr>
        <w:pStyle w:val="Prrafodelista"/>
        <w:jc w:val="both"/>
      </w:pPr>
    </w:p>
    <w:p w:rsidR="009A7096" w:rsidRDefault="004F3720" w:rsidP="009A7096">
      <w:pPr>
        <w:pStyle w:val="Prrafodelista"/>
        <w:numPr>
          <w:ilvl w:val="0"/>
          <w:numId w:val="26"/>
        </w:numPr>
        <w:jc w:val="both"/>
      </w:pPr>
      <w:r w:rsidRPr="004F3720">
        <w:rPr>
          <w:b/>
          <w:u w:val="single"/>
        </w:rPr>
        <w:t xml:space="preserve">LE – </w:t>
      </w:r>
      <w:proofErr w:type="spellStart"/>
      <w:r w:rsidRPr="004F3720">
        <w:rPr>
          <w:b/>
          <w:u w:val="single"/>
        </w:rPr>
        <w:t>Tableau</w:t>
      </w:r>
      <w:proofErr w:type="spellEnd"/>
      <w:r>
        <w:t xml:space="preserve">: </w:t>
      </w:r>
      <w:r w:rsidR="009A7096" w:rsidRPr="00557529">
        <w:t xml:space="preserve">Dra. Jimenez </w:t>
      </w:r>
      <w:r w:rsidR="009A7096">
        <w:t>comenta que e</w:t>
      </w:r>
      <w:r w:rsidR="00AC08D5">
        <w:t>n la pág. del Servicio de Salud se encuentra operativo el acceso a “</w:t>
      </w:r>
      <w:r w:rsidR="00AC08D5" w:rsidRPr="00AC08D5">
        <w:rPr>
          <w:b/>
        </w:rPr>
        <w:t>Salud Digital – SIDRA</w:t>
      </w:r>
      <w:r w:rsidR="00AC08D5">
        <w:t>”</w:t>
      </w:r>
      <w:r w:rsidR="009A7096">
        <w:t xml:space="preserve"> donde se presenta semanalmente la Lista de E</w:t>
      </w:r>
      <w:r w:rsidR="00AC08D5">
        <w:t>spera extraída de DEGI</w:t>
      </w:r>
      <w:r w:rsidR="009A7096">
        <w:t xml:space="preserve">. La visualización con el </w:t>
      </w:r>
      <w:r w:rsidR="009A7096" w:rsidRPr="009A7096">
        <w:t xml:space="preserve">Software </w:t>
      </w:r>
      <w:proofErr w:type="spellStart"/>
      <w:r w:rsidR="00AC08D5">
        <w:t>Tableau</w:t>
      </w:r>
      <w:proofErr w:type="spellEnd"/>
      <w:r w:rsidR="009A7096">
        <w:t xml:space="preserve"> hace </w:t>
      </w:r>
      <w:r w:rsidR="0005405D">
        <w:t>esta información interactiva</w:t>
      </w:r>
      <w:r w:rsidR="009A7096" w:rsidRPr="009A7096">
        <w:t xml:space="preserve"> </w:t>
      </w:r>
      <w:r w:rsidR="0005405D">
        <w:t xml:space="preserve">y </w:t>
      </w:r>
      <w:r w:rsidR="009A7096" w:rsidRPr="009A7096">
        <w:t>enfoca</w:t>
      </w:r>
      <w:r w:rsidR="0005405D">
        <w:t>da</w:t>
      </w:r>
      <w:r w:rsidR="009A7096" w:rsidRPr="009A7096">
        <w:t xml:space="preserve"> en la</w:t>
      </w:r>
      <w:r w:rsidR="009A7096">
        <w:t xml:space="preserve"> Gestión Sanitaria de Salud Digital del SSO</w:t>
      </w:r>
      <w:r w:rsidR="0005405D">
        <w:t>.</w:t>
      </w:r>
    </w:p>
    <w:p w:rsidR="00964FFC" w:rsidRDefault="00964FFC" w:rsidP="00E57EB2">
      <w:pPr>
        <w:pStyle w:val="Prrafodelista"/>
        <w:spacing w:after="0"/>
        <w:rPr>
          <w:color w:val="FF0000"/>
        </w:rPr>
      </w:pPr>
    </w:p>
    <w:p w:rsidR="006F62C1" w:rsidRPr="00902073" w:rsidRDefault="00902073" w:rsidP="00902073">
      <w:pPr>
        <w:pStyle w:val="Prrafodelista"/>
        <w:numPr>
          <w:ilvl w:val="0"/>
          <w:numId w:val="26"/>
        </w:numPr>
        <w:spacing w:after="0"/>
      </w:pPr>
      <w:r>
        <w:t>Se acuerda que e</w:t>
      </w:r>
      <w:r w:rsidR="006F62C1" w:rsidRPr="00902073">
        <w:t>n la próxima reunión se pasara lista ¡¡¡¡¡</w:t>
      </w:r>
    </w:p>
    <w:p w:rsidR="006F62C1" w:rsidRDefault="006F62C1" w:rsidP="00E57EB2">
      <w:pPr>
        <w:pStyle w:val="Prrafodelista"/>
        <w:spacing w:after="0"/>
        <w:rPr>
          <w:color w:val="FF0000"/>
        </w:rPr>
      </w:pPr>
    </w:p>
    <w:p w:rsidR="006F62C1" w:rsidRPr="00964FFC" w:rsidRDefault="006F62C1" w:rsidP="00E57EB2">
      <w:pPr>
        <w:pStyle w:val="Prrafodelista"/>
        <w:spacing w:after="0"/>
        <w:rPr>
          <w:color w:val="FF0000"/>
        </w:rPr>
      </w:pPr>
    </w:p>
    <w:p w:rsidR="00FF5781" w:rsidRDefault="00FF5781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</w:p>
    <w:p w:rsidR="00B408EF" w:rsidRPr="00B47012" w:rsidRDefault="00B408EF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  <w:r w:rsidRPr="00B47012">
        <w:rPr>
          <w:b/>
        </w:rPr>
        <w:t xml:space="preserve">Termino de reunión </w:t>
      </w:r>
      <w:r w:rsidR="00964FFC">
        <w:rPr>
          <w:b/>
        </w:rPr>
        <w:t>09</w:t>
      </w:r>
      <w:r w:rsidRPr="00B47012">
        <w:rPr>
          <w:b/>
        </w:rPr>
        <w:t>:</w:t>
      </w:r>
      <w:r w:rsidR="00964FFC">
        <w:rPr>
          <w:b/>
        </w:rPr>
        <w:t>4</w:t>
      </w:r>
      <w:r w:rsidRPr="00B47012">
        <w:rPr>
          <w:b/>
        </w:rPr>
        <w:t xml:space="preserve">0 </w:t>
      </w:r>
      <w:proofErr w:type="spellStart"/>
      <w:r w:rsidRPr="00B47012">
        <w:rPr>
          <w:b/>
        </w:rPr>
        <w:t>hrs</w:t>
      </w:r>
      <w:proofErr w:type="spellEnd"/>
      <w:r w:rsidRPr="00B47012">
        <w:rPr>
          <w:b/>
        </w:rPr>
        <w:t>.</w:t>
      </w:r>
    </w:p>
    <w:sectPr w:rsidR="00B408EF" w:rsidRPr="00B47012" w:rsidSect="00E57EB2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300"/>
    <w:multiLevelType w:val="hybridMultilevel"/>
    <w:tmpl w:val="CF3CCB6C"/>
    <w:lvl w:ilvl="0" w:tplc="DA0A4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0A4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60D8D"/>
    <w:multiLevelType w:val="hybridMultilevel"/>
    <w:tmpl w:val="F4B8D778"/>
    <w:lvl w:ilvl="0" w:tplc="C718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2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4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8F36E8"/>
    <w:multiLevelType w:val="hybridMultilevel"/>
    <w:tmpl w:val="29786100"/>
    <w:lvl w:ilvl="0" w:tplc="A34E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302D3"/>
    <w:multiLevelType w:val="hybridMultilevel"/>
    <w:tmpl w:val="EB8043E8"/>
    <w:lvl w:ilvl="0" w:tplc="80C0D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6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9129A9"/>
    <w:multiLevelType w:val="hybridMultilevel"/>
    <w:tmpl w:val="C9462B5C"/>
    <w:lvl w:ilvl="0" w:tplc="DBD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62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28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C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E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1B2011"/>
    <w:multiLevelType w:val="hybridMultilevel"/>
    <w:tmpl w:val="A7B2F2E6"/>
    <w:lvl w:ilvl="0" w:tplc="D436C2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8636C"/>
    <w:multiLevelType w:val="hybridMultilevel"/>
    <w:tmpl w:val="DEB0B748"/>
    <w:lvl w:ilvl="0" w:tplc="F37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A21FDC"/>
    <w:multiLevelType w:val="hybridMultilevel"/>
    <w:tmpl w:val="FA76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31175"/>
    <w:multiLevelType w:val="hybridMultilevel"/>
    <w:tmpl w:val="DE32DAF2"/>
    <w:lvl w:ilvl="0" w:tplc="183E4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8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4C0672"/>
    <w:multiLevelType w:val="hybridMultilevel"/>
    <w:tmpl w:val="265E2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75C9D"/>
    <w:multiLevelType w:val="hybridMultilevel"/>
    <w:tmpl w:val="8B1C5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968F0"/>
    <w:multiLevelType w:val="hybridMultilevel"/>
    <w:tmpl w:val="FC447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C25C9"/>
    <w:multiLevelType w:val="hybridMultilevel"/>
    <w:tmpl w:val="732CFD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1A6433"/>
    <w:multiLevelType w:val="hybridMultilevel"/>
    <w:tmpl w:val="380A2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D528E"/>
    <w:multiLevelType w:val="hybridMultilevel"/>
    <w:tmpl w:val="C0BCA1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9A7109"/>
    <w:multiLevelType w:val="hybridMultilevel"/>
    <w:tmpl w:val="65386BE6"/>
    <w:lvl w:ilvl="0" w:tplc="DB38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4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0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B660C4"/>
    <w:multiLevelType w:val="hybridMultilevel"/>
    <w:tmpl w:val="16C02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0045D"/>
    <w:multiLevelType w:val="hybridMultilevel"/>
    <w:tmpl w:val="BF5823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8B34A2"/>
    <w:multiLevelType w:val="hybridMultilevel"/>
    <w:tmpl w:val="D160CC4A"/>
    <w:lvl w:ilvl="0" w:tplc="E8EC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2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A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0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07112B9"/>
    <w:multiLevelType w:val="hybridMultilevel"/>
    <w:tmpl w:val="CF34A29E"/>
    <w:lvl w:ilvl="0" w:tplc="33E8A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3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C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22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5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A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B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A527F9"/>
    <w:multiLevelType w:val="hybridMultilevel"/>
    <w:tmpl w:val="6CC40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A647F"/>
    <w:multiLevelType w:val="hybridMultilevel"/>
    <w:tmpl w:val="36388E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466BB"/>
    <w:multiLevelType w:val="hybridMultilevel"/>
    <w:tmpl w:val="A4840B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186B7A"/>
    <w:multiLevelType w:val="hybridMultilevel"/>
    <w:tmpl w:val="DF02CA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9B4DC4"/>
    <w:multiLevelType w:val="hybridMultilevel"/>
    <w:tmpl w:val="36D61874"/>
    <w:lvl w:ilvl="0" w:tplc="8CE2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8F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A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0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594C69"/>
    <w:multiLevelType w:val="hybridMultilevel"/>
    <w:tmpl w:val="228E0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B7379"/>
    <w:multiLevelType w:val="hybridMultilevel"/>
    <w:tmpl w:val="6F9E7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804F8"/>
    <w:multiLevelType w:val="hybridMultilevel"/>
    <w:tmpl w:val="BB2AB32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2479C"/>
    <w:multiLevelType w:val="hybridMultilevel"/>
    <w:tmpl w:val="E656F8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0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19"/>
  </w:num>
  <w:num w:numId="10">
    <w:abstractNumId w:val="7"/>
  </w:num>
  <w:num w:numId="11">
    <w:abstractNumId w:val="12"/>
  </w:num>
  <w:num w:numId="12">
    <w:abstractNumId w:val="9"/>
  </w:num>
  <w:num w:numId="13">
    <w:abstractNumId w:val="18"/>
  </w:num>
  <w:num w:numId="14">
    <w:abstractNumId w:val="15"/>
  </w:num>
  <w:num w:numId="15">
    <w:abstractNumId w:val="4"/>
  </w:num>
  <w:num w:numId="16">
    <w:abstractNumId w:val="27"/>
  </w:num>
  <w:num w:numId="17">
    <w:abstractNumId w:val="6"/>
  </w:num>
  <w:num w:numId="18">
    <w:abstractNumId w:val="22"/>
  </w:num>
  <w:num w:numId="19">
    <w:abstractNumId w:val="1"/>
  </w:num>
  <w:num w:numId="20">
    <w:abstractNumId w:val="2"/>
  </w:num>
  <w:num w:numId="21">
    <w:abstractNumId w:val="8"/>
  </w:num>
  <w:num w:numId="22">
    <w:abstractNumId w:val="16"/>
  </w:num>
  <w:num w:numId="23">
    <w:abstractNumId w:val="24"/>
  </w:num>
  <w:num w:numId="24">
    <w:abstractNumId w:val="25"/>
  </w:num>
  <w:num w:numId="25">
    <w:abstractNumId w:val="14"/>
  </w:num>
  <w:num w:numId="26">
    <w:abstractNumId w:val="28"/>
  </w:num>
  <w:num w:numId="27">
    <w:abstractNumId w:val="3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C"/>
    <w:rsid w:val="0000023E"/>
    <w:rsid w:val="00004CDE"/>
    <w:rsid w:val="0003532C"/>
    <w:rsid w:val="00036A5C"/>
    <w:rsid w:val="00040B5E"/>
    <w:rsid w:val="00042D68"/>
    <w:rsid w:val="00051387"/>
    <w:rsid w:val="0005405D"/>
    <w:rsid w:val="000546BE"/>
    <w:rsid w:val="00067D48"/>
    <w:rsid w:val="00074DC6"/>
    <w:rsid w:val="00086AF7"/>
    <w:rsid w:val="000A0312"/>
    <w:rsid w:val="000B4AE4"/>
    <w:rsid w:val="000C3589"/>
    <w:rsid w:val="000E5EE5"/>
    <w:rsid w:val="00100163"/>
    <w:rsid w:val="0010183A"/>
    <w:rsid w:val="00105B5E"/>
    <w:rsid w:val="00124677"/>
    <w:rsid w:val="00133E75"/>
    <w:rsid w:val="001429D2"/>
    <w:rsid w:val="00147943"/>
    <w:rsid w:val="0015151E"/>
    <w:rsid w:val="00162F7E"/>
    <w:rsid w:val="00164B8A"/>
    <w:rsid w:val="001650E1"/>
    <w:rsid w:val="001720B5"/>
    <w:rsid w:val="0017673E"/>
    <w:rsid w:val="001A5974"/>
    <w:rsid w:val="001C1300"/>
    <w:rsid w:val="001C7024"/>
    <w:rsid w:val="001E39F1"/>
    <w:rsid w:val="001E7967"/>
    <w:rsid w:val="001F1C2D"/>
    <w:rsid w:val="00226423"/>
    <w:rsid w:val="00237A22"/>
    <w:rsid w:val="00237CF1"/>
    <w:rsid w:val="00244D3D"/>
    <w:rsid w:val="00246E6E"/>
    <w:rsid w:val="00275C5C"/>
    <w:rsid w:val="002E4ED1"/>
    <w:rsid w:val="00313823"/>
    <w:rsid w:val="003264B2"/>
    <w:rsid w:val="00326970"/>
    <w:rsid w:val="00352CA3"/>
    <w:rsid w:val="003921FA"/>
    <w:rsid w:val="003C6D82"/>
    <w:rsid w:val="003D786A"/>
    <w:rsid w:val="003F4C50"/>
    <w:rsid w:val="00402D74"/>
    <w:rsid w:val="00430516"/>
    <w:rsid w:val="004701BB"/>
    <w:rsid w:val="0049447B"/>
    <w:rsid w:val="004A708E"/>
    <w:rsid w:val="004B326B"/>
    <w:rsid w:val="004F3720"/>
    <w:rsid w:val="00510468"/>
    <w:rsid w:val="00513119"/>
    <w:rsid w:val="00514703"/>
    <w:rsid w:val="0052793A"/>
    <w:rsid w:val="00555912"/>
    <w:rsid w:val="00557529"/>
    <w:rsid w:val="00565165"/>
    <w:rsid w:val="00565C78"/>
    <w:rsid w:val="00586E03"/>
    <w:rsid w:val="005C3096"/>
    <w:rsid w:val="005D6C40"/>
    <w:rsid w:val="005E200F"/>
    <w:rsid w:val="006333DE"/>
    <w:rsid w:val="00633457"/>
    <w:rsid w:val="006342B8"/>
    <w:rsid w:val="00650E97"/>
    <w:rsid w:val="0068777C"/>
    <w:rsid w:val="006962CE"/>
    <w:rsid w:val="006A06FB"/>
    <w:rsid w:val="006F4E68"/>
    <w:rsid w:val="006F62C1"/>
    <w:rsid w:val="00777CB2"/>
    <w:rsid w:val="007816A7"/>
    <w:rsid w:val="0078256D"/>
    <w:rsid w:val="00785A37"/>
    <w:rsid w:val="00793BDE"/>
    <w:rsid w:val="007A4D3E"/>
    <w:rsid w:val="007C6F3D"/>
    <w:rsid w:val="007D6514"/>
    <w:rsid w:val="007F5F28"/>
    <w:rsid w:val="00810FD8"/>
    <w:rsid w:val="00811FEB"/>
    <w:rsid w:val="008311F5"/>
    <w:rsid w:val="008400D4"/>
    <w:rsid w:val="0085407C"/>
    <w:rsid w:val="00872B46"/>
    <w:rsid w:val="008741E8"/>
    <w:rsid w:val="00876DB2"/>
    <w:rsid w:val="00883A2B"/>
    <w:rsid w:val="00891372"/>
    <w:rsid w:val="00895653"/>
    <w:rsid w:val="008B5E34"/>
    <w:rsid w:val="008D183E"/>
    <w:rsid w:val="008F1172"/>
    <w:rsid w:val="008F57E1"/>
    <w:rsid w:val="00902073"/>
    <w:rsid w:val="00915C06"/>
    <w:rsid w:val="009318E7"/>
    <w:rsid w:val="00933401"/>
    <w:rsid w:val="009366F5"/>
    <w:rsid w:val="0094036E"/>
    <w:rsid w:val="00946791"/>
    <w:rsid w:val="00963F05"/>
    <w:rsid w:val="00964FFC"/>
    <w:rsid w:val="00973D5C"/>
    <w:rsid w:val="00986333"/>
    <w:rsid w:val="0099580B"/>
    <w:rsid w:val="009A7096"/>
    <w:rsid w:val="009B4A86"/>
    <w:rsid w:val="009D0682"/>
    <w:rsid w:val="009E6D5F"/>
    <w:rsid w:val="00A04DE9"/>
    <w:rsid w:val="00A23B5A"/>
    <w:rsid w:val="00A40361"/>
    <w:rsid w:val="00A55DFA"/>
    <w:rsid w:val="00A609E0"/>
    <w:rsid w:val="00A72524"/>
    <w:rsid w:val="00A75C62"/>
    <w:rsid w:val="00A823AB"/>
    <w:rsid w:val="00AC08D5"/>
    <w:rsid w:val="00AD662C"/>
    <w:rsid w:val="00B00976"/>
    <w:rsid w:val="00B2208C"/>
    <w:rsid w:val="00B408EF"/>
    <w:rsid w:val="00B42819"/>
    <w:rsid w:val="00B46AA6"/>
    <w:rsid w:val="00B47012"/>
    <w:rsid w:val="00B52A66"/>
    <w:rsid w:val="00B6194A"/>
    <w:rsid w:val="00B80D68"/>
    <w:rsid w:val="00B8724D"/>
    <w:rsid w:val="00B91C3D"/>
    <w:rsid w:val="00BA34CD"/>
    <w:rsid w:val="00BA67D2"/>
    <w:rsid w:val="00BB6663"/>
    <w:rsid w:val="00BC26FF"/>
    <w:rsid w:val="00BC3521"/>
    <w:rsid w:val="00C01A7F"/>
    <w:rsid w:val="00C129E7"/>
    <w:rsid w:val="00C14667"/>
    <w:rsid w:val="00C73033"/>
    <w:rsid w:val="00C73900"/>
    <w:rsid w:val="00C73C6A"/>
    <w:rsid w:val="00C930D9"/>
    <w:rsid w:val="00CB582E"/>
    <w:rsid w:val="00CD2952"/>
    <w:rsid w:val="00CD567A"/>
    <w:rsid w:val="00D13025"/>
    <w:rsid w:val="00D15435"/>
    <w:rsid w:val="00D20FBC"/>
    <w:rsid w:val="00D22282"/>
    <w:rsid w:val="00D65072"/>
    <w:rsid w:val="00D93BCA"/>
    <w:rsid w:val="00DB4843"/>
    <w:rsid w:val="00DD2236"/>
    <w:rsid w:val="00DD32DA"/>
    <w:rsid w:val="00DD46C4"/>
    <w:rsid w:val="00DE4D7C"/>
    <w:rsid w:val="00E07D81"/>
    <w:rsid w:val="00E14A5A"/>
    <w:rsid w:val="00E20399"/>
    <w:rsid w:val="00E37C08"/>
    <w:rsid w:val="00E5248E"/>
    <w:rsid w:val="00E52A54"/>
    <w:rsid w:val="00E57EB2"/>
    <w:rsid w:val="00E716B5"/>
    <w:rsid w:val="00EF0B72"/>
    <w:rsid w:val="00EF2D3D"/>
    <w:rsid w:val="00F06E79"/>
    <w:rsid w:val="00F07427"/>
    <w:rsid w:val="00F16983"/>
    <w:rsid w:val="00F24887"/>
    <w:rsid w:val="00F32A6F"/>
    <w:rsid w:val="00F80020"/>
    <w:rsid w:val="00F84198"/>
    <w:rsid w:val="00FA1B44"/>
    <w:rsid w:val="00FA40BB"/>
    <w:rsid w:val="00FB142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  <w15:docId w15:val="{9620DEB1-7DF8-430B-80B3-02FC911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74"/>
  </w:style>
  <w:style w:type="paragraph" w:styleId="Ttulo3">
    <w:name w:val="heading 3"/>
    <w:basedOn w:val="Normal"/>
    <w:link w:val="Ttulo3Car"/>
    <w:uiPriority w:val="9"/>
    <w:qFormat/>
    <w:rsid w:val="0098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633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9863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badge">
    <w:name w:val="badge"/>
    <w:basedOn w:val="Fuentedeprrafopredeter"/>
    <w:rsid w:val="0039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raddatz@redsalud.gov.cl" TargetMode="External"/><Relationship Id="rId3" Type="http://schemas.openxmlformats.org/officeDocument/2006/relationships/styles" Target="styles.xml"/><Relationship Id="rId7" Type="http://schemas.openxmlformats.org/officeDocument/2006/relationships/hyperlink" Target="mailto:Javiera.pohlenz@hospitaldigital.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3632-1190-4B6C-B377-E24F8D48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1891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Jofre</cp:lastModifiedBy>
  <cp:revision>5</cp:revision>
  <cp:lastPrinted>2018-12-20T14:12:00Z</cp:lastPrinted>
  <dcterms:created xsi:type="dcterms:W3CDTF">2019-06-26T14:34:00Z</dcterms:created>
  <dcterms:modified xsi:type="dcterms:W3CDTF">2019-06-26T17:25:00Z</dcterms:modified>
</cp:coreProperties>
</file>